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55ABC">
      <w:pPr>
        <w:autoSpaceDE w:val="0"/>
        <w:autoSpaceDN w:val="0"/>
        <w:adjustRightInd w:val="0"/>
        <w:jc w:val="center"/>
        <w:rPr>
          <w:rFonts w:asciiTheme="minorEastAsia" w:hAnsiTheme="minorEastAsia" w:eastAsiaTheme="minorEastAsia"/>
          <w:b/>
          <w:strike/>
          <w:color w:val="auto"/>
          <w:sz w:val="28"/>
          <w:szCs w:val="28"/>
          <w:highlight w:val="none"/>
        </w:rPr>
      </w:pPr>
      <w:r>
        <w:rPr>
          <w:rFonts w:hint="eastAsia" w:cs="黑体" w:asciiTheme="minorEastAsia" w:hAnsiTheme="minorEastAsia" w:eastAsiaTheme="minorEastAsia"/>
          <w:b/>
          <w:bCs/>
          <w:color w:val="auto"/>
          <w:sz w:val="30"/>
          <w:szCs w:val="30"/>
          <w:highlight w:val="none"/>
          <w:lang w:eastAsia="zh-CN"/>
        </w:rPr>
        <w:t>开平市社区康园中心运作和管理服务项目</w:t>
      </w:r>
      <w:r>
        <w:rPr>
          <w:rFonts w:hint="eastAsia" w:asciiTheme="minorEastAsia" w:hAnsiTheme="minorEastAsia" w:eastAsiaTheme="minorEastAsia"/>
          <w:b/>
          <w:color w:val="auto"/>
          <w:sz w:val="32"/>
          <w:szCs w:val="32"/>
          <w:highlight w:val="none"/>
        </w:rPr>
        <w:t>采购需求（用于采购需求调查）</w:t>
      </w:r>
    </w:p>
    <w:p w14:paraId="2FD9C7EC">
      <w:pPr>
        <w:keepNext w:val="0"/>
        <w:keepLines w:val="0"/>
        <w:pageBreakBefore w:val="0"/>
        <w:widowControl w:val="0"/>
        <w:kinsoku/>
        <w:wordWrap/>
        <w:overflowPunct/>
        <w:topLinePunct w:val="0"/>
        <w:autoSpaceDE w:val="0"/>
        <w:autoSpaceDN w:val="0"/>
        <w:bidi w:val="0"/>
        <w:adjustRightInd w:val="0"/>
        <w:snapToGrid/>
        <w:spacing w:line="480" w:lineRule="exact"/>
        <w:ind w:firstLine="482" w:firstLineChars="200"/>
        <w:textAlignment w:val="auto"/>
        <w:outlineLvl w:val="0"/>
        <w:rPr>
          <w:rFonts w:hint="eastAsia" w:asciiTheme="minorEastAsia" w:hAnsiTheme="minorEastAsia" w:eastAsiaTheme="minorEastAsia"/>
          <w:b/>
          <w:color w:val="auto"/>
          <w:sz w:val="24"/>
          <w:szCs w:val="24"/>
          <w:highlight w:val="none"/>
        </w:rPr>
      </w:pPr>
    </w:p>
    <w:p w14:paraId="0524721A">
      <w:pPr>
        <w:keepNext w:val="0"/>
        <w:keepLines w:val="0"/>
        <w:pageBreakBefore w:val="0"/>
        <w:widowControl w:val="0"/>
        <w:kinsoku/>
        <w:wordWrap/>
        <w:overflowPunct/>
        <w:topLinePunct w:val="0"/>
        <w:autoSpaceDE w:val="0"/>
        <w:autoSpaceDN w:val="0"/>
        <w:bidi w:val="0"/>
        <w:adjustRightInd w:val="0"/>
        <w:snapToGrid/>
        <w:spacing w:line="480" w:lineRule="exact"/>
        <w:ind w:firstLine="482" w:firstLineChars="200"/>
        <w:textAlignment w:val="auto"/>
        <w:outlineLvl w:val="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eastAsia="zh-CN"/>
        </w:rPr>
        <w:t>第一条</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项目名称</w:t>
      </w:r>
      <w:r>
        <w:rPr>
          <w:rFonts w:hint="eastAsia" w:asciiTheme="minorEastAsia" w:hAnsiTheme="minorEastAsia" w:eastAsiaTheme="minorEastAsia"/>
          <w:b/>
          <w:color w:val="auto"/>
          <w:sz w:val="24"/>
          <w:szCs w:val="24"/>
          <w:highlight w:val="none"/>
          <w:lang w:eastAsia="zh-CN"/>
        </w:rPr>
        <w:t>及</w:t>
      </w:r>
      <w:r>
        <w:rPr>
          <w:rFonts w:hint="eastAsia" w:asciiTheme="minorEastAsia" w:hAnsiTheme="minorEastAsia" w:eastAsiaTheme="minorEastAsia"/>
          <w:b/>
          <w:color w:val="auto"/>
          <w:sz w:val="24"/>
          <w:szCs w:val="24"/>
          <w:highlight w:val="none"/>
        </w:rPr>
        <w:t>预算</w:t>
      </w:r>
    </w:p>
    <w:p w14:paraId="53A203B5">
      <w:pPr>
        <w:spacing w:line="480" w:lineRule="exact"/>
        <w:ind w:firstLine="480" w:firstLineChars="200"/>
        <w:rPr>
          <w:rFonts w:hint="eastAsia" w:ascii="宋体" w:hAnsi="宋体" w:cs="宋体"/>
          <w:color w:val="auto"/>
          <w:sz w:val="24"/>
          <w:szCs w:val="24"/>
          <w:highlight w:val="none"/>
          <w:lang w:eastAsia="zh-CN"/>
        </w:rPr>
      </w:pPr>
      <w:r>
        <w:rPr>
          <w:rFonts w:hint="eastAsia" w:cs="宋体" w:asciiTheme="minorEastAsia" w:hAnsiTheme="minorEastAsia" w:eastAsiaTheme="minorEastAsia"/>
          <w:color w:val="auto"/>
          <w:kern w:val="0"/>
          <w:sz w:val="24"/>
          <w:szCs w:val="24"/>
          <w:highlight w:val="none"/>
          <w:lang w:eastAsia="zh-CN"/>
        </w:rPr>
        <w:t>一、项目名称：</w:t>
      </w:r>
      <w:r>
        <w:rPr>
          <w:rFonts w:hint="eastAsia" w:ascii="宋体" w:hAnsi="宋体" w:cs="宋体"/>
          <w:color w:val="auto"/>
          <w:sz w:val="24"/>
          <w:szCs w:val="24"/>
          <w:highlight w:val="none"/>
        </w:rPr>
        <w:t>开平市社区康园中心运作和管理服务项目</w:t>
      </w:r>
    </w:p>
    <w:p w14:paraId="234F7DE6">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二、项目预算：</w:t>
      </w:r>
      <w:r>
        <w:rPr>
          <w:rFonts w:hint="eastAsia" w:ascii="宋体" w:hAnsi="宋体" w:cs="宋体"/>
          <w:color w:val="auto"/>
          <w:sz w:val="24"/>
          <w:szCs w:val="24"/>
          <w:highlight w:val="none"/>
          <w:lang w:val="en-US" w:eastAsia="zh-CN"/>
        </w:rPr>
        <w:t>1992</w:t>
      </w:r>
      <w:r>
        <w:rPr>
          <w:rFonts w:hint="eastAsia" w:ascii="宋体" w:hAnsi="宋体" w:cs="宋体"/>
          <w:color w:val="auto"/>
          <w:sz w:val="24"/>
          <w:szCs w:val="24"/>
          <w:highlight w:val="none"/>
        </w:rPr>
        <w:t>000.00</w:t>
      </w:r>
      <w:r>
        <w:rPr>
          <w:rFonts w:hint="eastAsia" w:ascii="宋体" w:hAnsi="宋体" w:cs="宋体"/>
          <w:color w:val="auto"/>
          <w:sz w:val="24"/>
          <w:szCs w:val="24"/>
          <w:highlight w:val="none"/>
          <w:lang w:eastAsia="zh-CN"/>
        </w:rPr>
        <w:t>元</w:t>
      </w:r>
    </w:p>
    <w:p w14:paraId="1ECA6A2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采购包预算金额：1992000.00元</w:t>
      </w:r>
    </w:p>
    <w:tbl>
      <w:tblPr>
        <w:tblStyle w:val="13"/>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82"/>
        <w:gridCol w:w="1740"/>
        <w:gridCol w:w="1176"/>
        <w:gridCol w:w="1677"/>
        <w:gridCol w:w="988"/>
        <w:gridCol w:w="1026"/>
        <w:gridCol w:w="1388"/>
      </w:tblGrid>
      <w:tr w14:paraId="35E4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72" w:type="dxa"/>
            <w:vAlign w:val="center"/>
          </w:tcPr>
          <w:p w14:paraId="12220A35">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shd w:val="clear" w:color="auto" w:fill="FFFFFF"/>
              </w:rPr>
              <w:t>品目号</w:t>
            </w:r>
          </w:p>
        </w:tc>
        <w:tc>
          <w:tcPr>
            <w:tcW w:w="1282" w:type="dxa"/>
            <w:vAlign w:val="center"/>
          </w:tcPr>
          <w:p w14:paraId="79FF44ED">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shd w:val="clear" w:color="auto" w:fill="FFFFFF"/>
              </w:rPr>
              <w:t>品目名称</w:t>
            </w:r>
          </w:p>
        </w:tc>
        <w:tc>
          <w:tcPr>
            <w:tcW w:w="1740" w:type="dxa"/>
            <w:vAlign w:val="center"/>
          </w:tcPr>
          <w:p w14:paraId="6950B84C">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shd w:val="clear" w:color="auto" w:fill="FFFFFF"/>
              </w:rPr>
              <w:t>采购标的</w:t>
            </w:r>
          </w:p>
        </w:tc>
        <w:tc>
          <w:tcPr>
            <w:tcW w:w="1176" w:type="dxa"/>
            <w:vAlign w:val="center"/>
          </w:tcPr>
          <w:p w14:paraId="2D9D08ED">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shd w:val="clear" w:color="auto" w:fill="FFFFFF"/>
              </w:rPr>
              <w:t>数量（单位）</w:t>
            </w:r>
          </w:p>
        </w:tc>
        <w:tc>
          <w:tcPr>
            <w:tcW w:w="1677" w:type="dxa"/>
          </w:tcPr>
          <w:p w14:paraId="2448E8D9">
            <w:pPr>
              <w:adjustRightInd/>
              <w:spacing w:line="480" w:lineRule="exact"/>
              <w:jc w:val="center"/>
              <w:textAlignment w:val="auto"/>
              <w:rPr>
                <w:rFonts w:ascii="宋体" w:hAnsi="宋体" w:cs="宋体"/>
                <w:b/>
                <w:color w:val="auto"/>
                <w:kern w:val="2"/>
                <w:sz w:val="24"/>
                <w:szCs w:val="24"/>
                <w:highlight w:val="none"/>
                <w:shd w:val="clear" w:color="auto" w:fill="FFFFFF"/>
              </w:rPr>
            </w:pPr>
            <w:r>
              <w:rPr>
                <w:rFonts w:hint="eastAsia" w:ascii="宋体" w:hAnsi="宋体" w:cs="宋体"/>
                <w:b/>
                <w:color w:val="auto"/>
                <w:kern w:val="2"/>
                <w:sz w:val="24"/>
                <w:szCs w:val="24"/>
                <w:highlight w:val="none"/>
                <w:shd w:val="clear" w:color="auto" w:fill="FFFFFF"/>
              </w:rPr>
              <w:t>技术规格、参数及要求</w:t>
            </w:r>
          </w:p>
        </w:tc>
        <w:tc>
          <w:tcPr>
            <w:tcW w:w="988" w:type="dxa"/>
            <w:vAlign w:val="center"/>
          </w:tcPr>
          <w:p w14:paraId="75CE21DC">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shd w:val="clear" w:color="auto" w:fill="FFFFFF"/>
              </w:rPr>
              <w:t>品目预算(元）</w:t>
            </w:r>
          </w:p>
        </w:tc>
        <w:tc>
          <w:tcPr>
            <w:tcW w:w="1026" w:type="dxa"/>
            <w:vAlign w:val="center"/>
          </w:tcPr>
          <w:p w14:paraId="359FE6F6">
            <w:pPr>
              <w:adjustRightInd/>
              <w:spacing w:line="480" w:lineRule="exact"/>
              <w:jc w:val="center"/>
              <w:textAlignment w:val="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最高限价(元)</w:t>
            </w:r>
          </w:p>
        </w:tc>
        <w:tc>
          <w:tcPr>
            <w:tcW w:w="1388" w:type="dxa"/>
            <w:vAlign w:val="center"/>
          </w:tcPr>
          <w:p w14:paraId="68121B0D">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shd w:val="clear" w:color="auto" w:fill="FFFFFF"/>
              </w:rPr>
              <w:t>是否允许进口产品</w:t>
            </w:r>
          </w:p>
        </w:tc>
      </w:tr>
      <w:tr w14:paraId="664F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2" w:type="dxa"/>
            <w:vAlign w:val="center"/>
          </w:tcPr>
          <w:p w14:paraId="72550D3F">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1-1</w:t>
            </w:r>
          </w:p>
        </w:tc>
        <w:tc>
          <w:tcPr>
            <w:tcW w:w="1282" w:type="dxa"/>
            <w:vAlign w:val="center"/>
          </w:tcPr>
          <w:p w14:paraId="2B1FBA17">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残疾人服务</w:t>
            </w:r>
          </w:p>
        </w:tc>
        <w:tc>
          <w:tcPr>
            <w:tcW w:w="1740" w:type="dxa"/>
            <w:vAlign w:val="center"/>
          </w:tcPr>
          <w:p w14:paraId="42756F1B">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sz w:val="24"/>
                <w:szCs w:val="24"/>
                <w:highlight w:val="none"/>
              </w:rPr>
              <w:t>开平市社区康园中心运作和管理服务</w:t>
            </w:r>
          </w:p>
        </w:tc>
        <w:tc>
          <w:tcPr>
            <w:tcW w:w="1176" w:type="dxa"/>
            <w:vAlign w:val="center"/>
          </w:tcPr>
          <w:p w14:paraId="04D3EA3B">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1项</w:t>
            </w:r>
          </w:p>
        </w:tc>
        <w:tc>
          <w:tcPr>
            <w:tcW w:w="1677" w:type="dxa"/>
            <w:vAlign w:val="center"/>
          </w:tcPr>
          <w:p w14:paraId="6FC8B5B8">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详见采购文件</w:t>
            </w:r>
          </w:p>
        </w:tc>
        <w:tc>
          <w:tcPr>
            <w:tcW w:w="988" w:type="dxa"/>
            <w:vAlign w:val="center"/>
          </w:tcPr>
          <w:p w14:paraId="0FD60ADB">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sz w:val="24"/>
                <w:szCs w:val="24"/>
                <w:highlight w:val="none"/>
              </w:rPr>
              <w:t>1992000.00</w:t>
            </w:r>
          </w:p>
        </w:tc>
        <w:tc>
          <w:tcPr>
            <w:tcW w:w="1026" w:type="dxa"/>
            <w:vAlign w:val="center"/>
          </w:tcPr>
          <w:p w14:paraId="300FA11E">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sz w:val="24"/>
                <w:szCs w:val="24"/>
                <w:highlight w:val="none"/>
              </w:rPr>
              <w:t>---</w:t>
            </w:r>
          </w:p>
        </w:tc>
        <w:tc>
          <w:tcPr>
            <w:tcW w:w="1388" w:type="dxa"/>
            <w:vAlign w:val="center"/>
          </w:tcPr>
          <w:p w14:paraId="485AB44B">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否</w:t>
            </w:r>
          </w:p>
        </w:tc>
      </w:tr>
    </w:tbl>
    <w:p w14:paraId="3FC7E9C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本采购包接受联合体投标。</w:t>
      </w:r>
    </w:p>
    <w:p w14:paraId="37D26174">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合同分包：不允许合同分包。</w:t>
      </w:r>
    </w:p>
    <w:p w14:paraId="6926510C">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合同履行期限：</w:t>
      </w:r>
      <w:r>
        <w:rPr>
          <w:rFonts w:hint="eastAsia" w:asciiTheme="minorEastAsia" w:hAnsiTheme="minorEastAsia" w:eastAsiaTheme="minorEastAsia"/>
          <w:color w:val="auto"/>
          <w:sz w:val="24"/>
          <w:szCs w:val="24"/>
          <w:highlight w:val="none"/>
        </w:rPr>
        <w:t>详见采购需求中“</w:t>
      </w:r>
      <w:r>
        <w:rPr>
          <w:rFonts w:asciiTheme="minorEastAsia" w:hAnsiTheme="minorEastAsia" w:eastAsiaTheme="minorEastAsia"/>
          <w:color w:val="auto"/>
          <w:sz w:val="24"/>
          <w:highlight w:val="none"/>
        </w:rPr>
        <w:t>标的提供的时间</w:t>
      </w:r>
      <w:r>
        <w:rPr>
          <w:rFonts w:hint="eastAsia" w:asciiTheme="minorEastAsia" w:hAnsiTheme="minorEastAsia" w:eastAsiaTheme="minorEastAsia"/>
          <w:color w:val="auto"/>
          <w:sz w:val="24"/>
          <w:szCs w:val="24"/>
          <w:highlight w:val="none"/>
        </w:rPr>
        <w:t>”要求</w:t>
      </w:r>
      <w:r>
        <w:rPr>
          <w:rFonts w:hint="eastAsia" w:ascii="宋体" w:hAnsi="宋体" w:cs="宋体"/>
          <w:color w:val="auto"/>
          <w:sz w:val="24"/>
          <w:szCs w:val="24"/>
          <w:highlight w:val="none"/>
          <w:shd w:val="clear" w:color="auto" w:fill="FFFFFF"/>
        </w:rPr>
        <w:t>。</w:t>
      </w:r>
    </w:p>
    <w:p w14:paraId="1E792FFD">
      <w:pPr>
        <w:keepNext w:val="0"/>
        <w:keepLines w:val="0"/>
        <w:pageBreakBefore w:val="0"/>
        <w:widowControl w:val="0"/>
        <w:kinsoku/>
        <w:wordWrap/>
        <w:overflowPunct/>
        <w:topLinePunct w:val="0"/>
        <w:autoSpaceDE w:val="0"/>
        <w:autoSpaceDN w:val="0"/>
        <w:bidi w:val="0"/>
        <w:adjustRightInd w:val="0"/>
        <w:snapToGrid/>
        <w:spacing w:line="480" w:lineRule="exact"/>
        <w:ind w:firstLine="482" w:firstLineChars="200"/>
        <w:textAlignment w:val="auto"/>
        <w:outlineLvl w:val="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eastAsia="zh-CN"/>
        </w:rPr>
        <w:t>第二条</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lang w:eastAsia="zh-CN"/>
        </w:rPr>
        <w:t>投标人</w:t>
      </w:r>
      <w:r>
        <w:rPr>
          <w:rFonts w:hint="eastAsia" w:asciiTheme="minorEastAsia" w:hAnsiTheme="minorEastAsia" w:eastAsiaTheme="minorEastAsia"/>
          <w:b/>
          <w:color w:val="auto"/>
          <w:sz w:val="24"/>
          <w:szCs w:val="24"/>
          <w:highlight w:val="none"/>
        </w:rPr>
        <w:t>资格要求</w:t>
      </w:r>
    </w:p>
    <w:p w14:paraId="082F857A">
      <w:pPr>
        <w:adjustRightInd/>
        <w:spacing w:line="480" w:lineRule="exact"/>
        <w:ind w:firstLine="482" w:firstLineChars="200"/>
        <w:textAlignment w:val="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1.投标人应具备《中华人民共和国政府采购法》第二十二条规定的条件，提供下列材料：</w:t>
      </w:r>
    </w:p>
    <w:p w14:paraId="23264AC1">
      <w:pPr>
        <w:adjustRightInd/>
        <w:spacing w:line="480" w:lineRule="exact"/>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1）</w:t>
      </w:r>
      <w:r>
        <w:rPr>
          <w:rFonts w:hint="eastAsia" w:ascii="宋体" w:hAnsi="宋体" w:cs="宋体"/>
          <w:b/>
          <w:color w:val="auto"/>
          <w:kern w:val="2"/>
          <w:sz w:val="24"/>
          <w:szCs w:val="24"/>
          <w:highlight w:val="none"/>
        </w:rPr>
        <w:t>具有独立承担民事责任的能力：</w:t>
      </w:r>
      <w:r>
        <w:rPr>
          <w:rFonts w:hint="eastAsia" w:ascii="宋体" w:hAnsi="宋体" w:cs="宋体"/>
          <w:color w:val="auto"/>
          <w:sz w:val="24"/>
          <w:szCs w:val="24"/>
          <w:highlight w:val="none"/>
        </w:rPr>
        <w:t>在中华人民共和国境内注册的法人或其他组织，投标（响应）时提交有效的营业执照（或事业法人登记证等相关证明）副本复印件。若分支机构投标的，应当取得总公司（总所）出具给分支机构的有效授权，并同时提供总公司（总所）的营业执照、总公司（总所）出具给分支机构的有效授权书及分支机构的营业执照复印件。</w:t>
      </w:r>
      <w:r>
        <w:rPr>
          <w:rFonts w:hint="eastAsia" w:ascii="宋体" w:hAnsi="宋体" w:cs="宋体"/>
          <w:color w:val="auto"/>
          <w:sz w:val="24"/>
          <w:szCs w:val="21"/>
          <w:highlight w:val="none"/>
        </w:rPr>
        <w:t>（</w:t>
      </w:r>
      <w:r>
        <w:rPr>
          <w:rFonts w:hint="eastAsia" w:hAnsi="宋体" w:cs="宋体"/>
          <w:color w:val="auto"/>
          <w:sz w:val="24"/>
          <w:szCs w:val="24"/>
          <w:highlight w:val="none"/>
        </w:rPr>
        <w:t>若投标人以联合体形式参加投标（响应）的，则联合体所有方均须满足</w:t>
      </w:r>
      <w:r>
        <w:rPr>
          <w:rFonts w:hint="eastAsia" w:ascii="宋体" w:hAnsi="宋体" w:cs="宋体"/>
          <w:color w:val="auto"/>
          <w:sz w:val="24"/>
          <w:szCs w:val="21"/>
          <w:highlight w:val="none"/>
        </w:rPr>
        <w:t>）</w:t>
      </w:r>
    </w:p>
    <w:p w14:paraId="7E135265">
      <w:pPr>
        <w:adjustRightInd/>
        <w:spacing w:line="480" w:lineRule="exact"/>
        <w:ind w:firstLine="482" w:firstLineChars="200"/>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rPr>
        <w:t>2）有依法缴纳税收和社会保障资金的良好记录：</w:t>
      </w:r>
      <w:r>
        <w:rPr>
          <w:rFonts w:hint="eastAsia" w:ascii="宋体" w:hAnsi="宋体" w:cs="宋体"/>
          <w:color w:val="auto"/>
          <w:kern w:val="2"/>
          <w:sz w:val="24"/>
          <w:szCs w:val="24"/>
          <w:highlight w:val="none"/>
        </w:rPr>
        <w:t>提供2025年1月至今任意1个月的依法缴纳税收和社会保障资金的相关材料复印件；如依法免税或不需要缴纳社会保障资金的，应当提供相应证明文件复印件。</w:t>
      </w:r>
      <w:r>
        <w:rPr>
          <w:rFonts w:hint="eastAsia" w:ascii="宋体" w:hAnsi="宋体" w:cs="宋体"/>
          <w:color w:val="auto"/>
          <w:sz w:val="24"/>
          <w:szCs w:val="21"/>
          <w:highlight w:val="none"/>
        </w:rPr>
        <w:t>（</w:t>
      </w:r>
      <w:r>
        <w:rPr>
          <w:rFonts w:hint="eastAsia" w:hAnsi="宋体" w:cs="宋体"/>
          <w:color w:val="auto"/>
          <w:sz w:val="24"/>
          <w:szCs w:val="24"/>
          <w:highlight w:val="none"/>
        </w:rPr>
        <w:t>若投标人以联合体形式参加投标（响应）的，则联合体所有方均须满足</w:t>
      </w:r>
      <w:r>
        <w:rPr>
          <w:rFonts w:hint="eastAsia" w:ascii="宋体" w:hAnsi="宋体" w:cs="宋体"/>
          <w:color w:val="auto"/>
          <w:sz w:val="24"/>
          <w:szCs w:val="21"/>
          <w:highlight w:val="none"/>
        </w:rPr>
        <w:t>）</w:t>
      </w:r>
    </w:p>
    <w:p w14:paraId="55C0363D">
      <w:pPr>
        <w:adjustRightInd/>
        <w:spacing w:line="480" w:lineRule="exact"/>
        <w:ind w:firstLine="482" w:firstLineChars="200"/>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rPr>
        <w:t>3）具有良好的商业信誉和健全的财务会计制度：</w:t>
      </w:r>
      <w:r>
        <w:rPr>
          <w:rFonts w:hint="eastAsia" w:ascii="宋体" w:hAnsi="宋体" w:cs="宋体"/>
          <w:color w:val="auto"/>
          <w:kern w:val="2"/>
          <w:sz w:val="24"/>
          <w:szCs w:val="24"/>
          <w:highlight w:val="none"/>
        </w:rPr>
        <w:t>提供2024年度财务状况报告或2025年1月至今任意1个月的财务报表或银行出具的资信证明复印件。</w:t>
      </w:r>
      <w:r>
        <w:rPr>
          <w:rFonts w:hint="eastAsia" w:ascii="宋体" w:hAnsi="宋体" w:cs="宋体"/>
          <w:color w:val="auto"/>
          <w:sz w:val="24"/>
          <w:szCs w:val="21"/>
          <w:highlight w:val="none"/>
        </w:rPr>
        <w:t>（</w:t>
      </w:r>
      <w:r>
        <w:rPr>
          <w:rFonts w:hint="eastAsia" w:hAnsi="宋体" w:cs="宋体"/>
          <w:color w:val="auto"/>
          <w:sz w:val="24"/>
          <w:szCs w:val="24"/>
          <w:highlight w:val="none"/>
        </w:rPr>
        <w:t>若投标人以联合体形式参加投标（响应）的，则联合体所有方均须满足</w:t>
      </w:r>
      <w:r>
        <w:rPr>
          <w:rFonts w:hint="eastAsia" w:ascii="宋体" w:hAnsi="宋体" w:cs="宋体"/>
          <w:color w:val="auto"/>
          <w:sz w:val="24"/>
          <w:szCs w:val="21"/>
          <w:highlight w:val="none"/>
        </w:rPr>
        <w:t>）</w:t>
      </w:r>
    </w:p>
    <w:p w14:paraId="652EF9E4">
      <w:pPr>
        <w:adjustRightInd/>
        <w:spacing w:line="480" w:lineRule="exact"/>
        <w:ind w:firstLine="482" w:firstLineChars="200"/>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rPr>
        <w:t>4）履行合同所必须的设备和专业技术能力：</w:t>
      </w:r>
      <w:r>
        <w:rPr>
          <w:rFonts w:hint="eastAsia" w:ascii="宋体" w:hAnsi="宋体" w:cs="宋体"/>
          <w:color w:val="auto"/>
          <w:kern w:val="2"/>
          <w:sz w:val="24"/>
          <w:szCs w:val="24"/>
          <w:highlight w:val="none"/>
        </w:rPr>
        <w:t>填报设备及专业技术能力情况或作出相应承诺（格式自拟）。</w:t>
      </w:r>
      <w:r>
        <w:rPr>
          <w:rFonts w:hint="eastAsia" w:ascii="宋体" w:hAnsi="宋体" w:cs="宋体"/>
          <w:color w:val="auto"/>
          <w:sz w:val="24"/>
          <w:szCs w:val="21"/>
          <w:highlight w:val="none"/>
        </w:rPr>
        <w:t>（</w:t>
      </w:r>
      <w:r>
        <w:rPr>
          <w:rFonts w:hint="eastAsia" w:hAnsi="宋体" w:cs="宋体"/>
          <w:color w:val="auto"/>
          <w:sz w:val="24"/>
          <w:szCs w:val="24"/>
          <w:highlight w:val="none"/>
        </w:rPr>
        <w:t>若投标人以联合体形式参加投标（响应）的，则联合体所有方均须满足</w:t>
      </w:r>
      <w:r>
        <w:rPr>
          <w:rFonts w:hint="eastAsia" w:ascii="宋体" w:hAnsi="宋体" w:cs="宋体"/>
          <w:color w:val="auto"/>
          <w:sz w:val="24"/>
          <w:szCs w:val="21"/>
          <w:highlight w:val="none"/>
        </w:rPr>
        <w:t>）</w:t>
      </w:r>
    </w:p>
    <w:p w14:paraId="56B7DA4C">
      <w:pPr>
        <w:adjustRightInd/>
        <w:spacing w:line="480" w:lineRule="exact"/>
        <w:ind w:firstLine="482" w:firstLineChars="200"/>
        <w:textAlignment w:val="auto"/>
        <w:rPr>
          <w:rFonts w:ascii="宋体" w:hAnsi="宋体" w:cs="宋体"/>
          <w:color w:val="auto"/>
          <w:sz w:val="24"/>
          <w:szCs w:val="24"/>
          <w:highlight w:val="none"/>
        </w:rPr>
      </w:pPr>
      <w:r>
        <w:rPr>
          <w:rFonts w:hint="eastAsia" w:ascii="宋体" w:hAnsi="宋体" w:cs="宋体"/>
          <w:b/>
          <w:color w:val="auto"/>
          <w:kern w:val="2"/>
          <w:sz w:val="24"/>
          <w:szCs w:val="24"/>
          <w:highlight w:val="none"/>
        </w:rPr>
        <w:t>5）参加采购活动前3年内，在经营活动中没有重大违法记录：</w:t>
      </w:r>
      <w:r>
        <w:rPr>
          <w:rFonts w:hint="eastAsia" w:ascii="宋体" w:hAnsi="宋体" w:cs="宋体"/>
          <w:color w:val="auto"/>
          <w:kern w:val="2"/>
          <w:sz w:val="24"/>
          <w:szCs w:val="24"/>
          <w:highlight w:val="none"/>
        </w:rPr>
        <w:t>参照投标（报价）函相关承诺格式内容。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r>
        <w:rPr>
          <w:rFonts w:hint="eastAsia" w:ascii="宋体" w:hAnsi="宋体" w:cs="宋体"/>
          <w:color w:val="auto"/>
          <w:sz w:val="24"/>
          <w:szCs w:val="21"/>
          <w:highlight w:val="none"/>
        </w:rPr>
        <w:t>（</w:t>
      </w:r>
      <w:r>
        <w:rPr>
          <w:rFonts w:hint="eastAsia" w:hAnsi="宋体" w:cs="宋体"/>
          <w:color w:val="auto"/>
          <w:sz w:val="24"/>
          <w:szCs w:val="24"/>
          <w:highlight w:val="none"/>
        </w:rPr>
        <w:t>若投标人以联合体形式参加投标（响应）的，则联合体所有方均须满足</w:t>
      </w:r>
      <w:r>
        <w:rPr>
          <w:rFonts w:hint="eastAsia" w:ascii="宋体" w:hAnsi="宋体" w:cs="宋体"/>
          <w:color w:val="auto"/>
          <w:sz w:val="24"/>
          <w:szCs w:val="21"/>
          <w:highlight w:val="none"/>
        </w:rPr>
        <w:t>）</w:t>
      </w:r>
    </w:p>
    <w:p w14:paraId="4778CC77">
      <w:pPr>
        <w:adjustRightInd/>
        <w:spacing w:line="480" w:lineRule="exact"/>
        <w:ind w:firstLine="482" w:firstLineChars="200"/>
        <w:textAlignment w:val="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2.落实政府采购政策需满足的资格要求：</w:t>
      </w:r>
    </w:p>
    <w:p w14:paraId="378908B5">
      <w:pPr>
        <w:adjustRightInd/>
        <w:spacing w:line="480" w:lineRule="exact"/>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采购包1：本项目不属于专门面向中小企业采购的项目。</w:t>
      </w:r>
    </w:p>
    <w:p w14:paraId="765B4645">
      <w:pPr>
        <w:adjustRightInd/>
        <w:spacing w:line="480" w:lineRule="exact"/>
        <w:ind w:firstLine="482" w:firstLineChars="200"/>
        <w:textAlignment w:val="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3.本项目特定的资格要求：</w:t>
      </w:r>
    </w:p>
    <w:p w14:paraId="259F751E">
      <w:pPr>
        <w:adjustRightInd/>
        <w:spacing w:line="480" w:lineRule="exact"/>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采购包1：</w:t>
      </w:r>
    </w:p>
    <w:p w14:paraId="6E8D9E48">
      <w:pPr>
        <w:adjustRightInd/>
        <w:spacing w:line="480" w:lineRule="exact"/>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1）供应商未被列入“信用中国”网站（www.creditchina.gov.cn）“记录失信被执行人或</w:t>
      </w:r>
      <w:r>
        <w:rPr>
          <w:rFonts w:hint="eastAsia" w:hAnsi="宋体" w:cs="宋体"/>
          <w:color w:val="auto"/>
          <w:sz w:val="24"/>
          <w:szCs w:val="24"/>
          <w:highlight w:val="none"/>
        </w:rPr>
        <w:t>重大税收违法失信主体</w:t>
      </w:r>
      <w:r>
        <w:rPr>
          <w:rFonts w:hint="eastAsia" w:ascii="宋体" w:hAnsi="宋体" w:cs="宋体"/>
          <w:color w:val="auto"/>
          <w:kern w:val="2"/>
          <w:sz w:val="24"/>
          <w:szCs w:val="24"/>
          <w:highlight w:val="none"/>
        </w:rPr>
        <w:t>或政府采购严重违法失信行为”记录名单；不处于中国政府采购网（www.ccgp.gov.cn）“政府采购严重违法失信行为信息记录”中的禁止参加政府采购活动期间。（以投标（响应）截止时间当天采购代理机构通过“信用中国”网站（www.creditchina.gov.cn）、中国政府采购网（www.ccgp.gov.cn）查询供应商信用记录为准，如相关失信记录已失效，应当提供相应证明文件复印件）</w:t>
      </w:r>
      <w:r>
        <w:rPr>
          <w:rFonts w:hint="eastAsia" w:ascii="宋体" w:hAnsi="宋体" w:cs="宋体"/>
          <w:color w:val="auto"/>
          <w:sz w:val="24"/>
          <w:szCs w:val="21"/>
          <w:highlight w:val="none"/>
        </w:rPr>
        <w:t>（</w:t>
      </w:r>
      <w:r>
        <w:rPr>
          <w:rFonts w:hint="eastAsia" w:hAnsi="宋体" w:cs="宋体"/>
          <w:color w:val="auto"/>
          <w:sz w:val="24"/>
          <w:szCs w:val="24"/>
          <w:highlight w:val="none"/>
        </w:rPr>
        <w:t>若投标人以联合体形式参加投标（响应）的，则联合体所有方均须满足</w:t>
      </w:r>
      <w:r>
        <w:rPr>
          <w:rFonts w:hint="eastAsia" w:ascii="宋体" w:hAnsi="宋体" w:cs="宋体"/>
          <w:color w:val="auto"/>
          <w:sz w:val="24"/>
          <w:szCs w:val="21"/>
          <w:highlight w:val="none"/>
        </w:rPr>
        <w:t>）</w:t>
      </w:r>
    </w:p>
    <w:p w14:paraId="5A9CA1AD">
      <w:pPr>
        <w:adjustRightInd/>
        <w:spacing w:line="480" w:lineRule="exact"/>
        <w:ind w:firstLine="480" w:firstLineChars="200"/>
        <w:textAlignment w:val="auto"/>
        <w:rPr>
          <w:rFonts w:ascii="宋体" w:hAnsi="宋体" w:cs="宋体"/>
          <w:color w:val="auto"/>
          <w:sz w:val="24"/>
          <w:szCs w:val="21"/>
          <w:highlight w:val="none"/>
        </w:rPr>
      </w:pPr>
      <w:r>
        <w:rPr>
          <w:rFonts w:hint="eastAsia" w:ascii="宋体" w:hAnsi="宋体" w:cs="宋体"/>
          <w:color w:val="auto"/>
          <w:kern w:val="2"/>
          <w:sz w:val="24"/>
          <w:szCs w:val="24"/>
          <w:highlight w:val="none"/>
        </w:rPr>
        <w:t>2）</w:t>
      </w:r>
      <w:r>
        <w:rPr>
          <w:rFonts w:hint="eastAsia" w:ascii="宋体" w:hAnsi="宋体" w:cs="宋体"/>
          <w:color w:val="auto"/>
          <w:sz w:val="24"/>
          <w:szCs w:val="24"/>
          <w:highlight w:val="none"/>
        </w:rPr>
        <w:t>单位负责人为同一人或者存在直接控股、管理关系的不同供应商，不得同时参加本采购项目（或采购包）投标（响应），共同组成联合体投标（响应）的除外。（若投标人以联合体形式参加投标（响应）的，联合体各方投标人与其他投标人不得存在上述规定的情形）。为本项目提供整体设计、规范编制或者项目管理、监理、检测等服务的供应商，不得再参与本项目投标（响应）。投标（报价）函相关承诺要求内容</w:t>
      </w:r>
      <w:r>
        <w:rPr>
          <w:rFonts w:hint="eastAsia" w:ascii="宋体" w:hAnsi="宋体" w:cs="宋体"/>
          <w:color w:val="auto"/>
          <w:kern w:val="2"/>
          <w:sz w:val="24"/>
          <w:szCs w:val="24"/>
          <w:highlight w:val="none"/>
        </w:rPr>
        <w:t>。</w:t>
      </w:r>
      <w:r>
        <w:rPr>
          <w:rFonts w:hint="eastAsia" w:ascii="宋体" w:hAnsi="宋体" w:cs="宋体"/>
          <w:color w:val="auto"/>
          <w:sz w:val="24"/>
          <w:szCs w:val="21"/>
          <w:highlight w:val="none"/>
        </w:rPr>
        <w:t>（</w:t>
      </w:r>
      <w:r>
        <w:rPr>
          <w:rFonts w:hint="eastAsia" w:hAnsi="宋体" w:cs="宋体"/>
          <w:color w:val="auto"/>
          <w:sz w:val="24"/>
          <w:szCs w:val="24"/>
          <w:highlight w:val="none"/>
        </w:rPr>
        <w:t>若投标人以联合体形式参加投标（响应）的，则联合体所有方均须满足</w:t>
      </w:r>
      <w:r>
        <w:rPr>
          <w:rFonts w:hint="eastAsia" w:ascii="宋体" w:hAnsi="宋体" w:cs="宋体"/>
          <w:color w:val="auto"/>
          <w:sz w:val="24"/>
          <w:szCs w:val="21"/>
          <w:highlight w:val="none"/>
        </w:rPr>
        <w:t>）</w:t>
      </w:r>
    </w:p>
    <w:p w14:paraId="372B31FA">
      <w:pPr>
        <w:adjustRightIn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kern w:val="2"/>
          <w:sz w:val="24"/>
          <w:szCs w:val="24"/>
          <w:highlight w:val="none"/>
        </w:rPr>
        <w:t>3）</w:t>
      </w:r>
      <w:r>
        <w:rPr>
          <w:rFonts w:hint="eastAsia" w:hAnsi="宋体" w:cs="宋体"/>
          <w:color w:val="auto"/>
          <w:sz w:val="24"/>
          <w:szCs w:val="24"/>
          <w:highlight w:val="none"/>
        </w:rPr>
        <w:t>本采购包接受联合体投标（响应），联合体成员不得超过三家；若投标人以联合体形式参加投标（响应）的，参与本项目投标（响应）的联合体各成员必须签订联合体共同投标协议书，明确各方承担的工作内容和权利义务，并确定其中一家联合体成员为联合体的牵头单位，且由联合体的牵头单位负责本项目投标（响应）事宜；组成联合体各成员不得再以自己的名义单独或参与其他联合体在本采购包中投标（响应）。（若投标人以联合体形式参加投标（响应）的，需提供《联合体共同投标协议书》）</w:t>
      </w:r>
    </w:p>
    <w:p w14:paraId="1EE05DA9">
      <w:pPr>
        <w:autoSpaceDE w:val="0"/>
        <w:autoSpaceDN w:val="0"/>
        <w:adjustRightInd w:val="0"/>
        <w:spacing w:line="480" w:lineRule="exact"/>
        <w:ind w:firstLine="480" w:firstLineChars="200"/>
        <w:rPr>
          <w:rFonts w:hint="eastAsia" w:ascii="宋体" w:hAnsi="宋体" w:cs="宋体"/>
          <w:color w:val="auto"/>
          <w:sz w:val="24"/>
          <w:szCs w:val="24"/>
          <w:highlight w:val="none"/>
        </w:rPr>
      </w:pPr>
    </w:p>
    <w:p w14:paraId="7B3C80D2">
      <w:pPr>
        <w:keepNext w:val="0"/>
        <w:keepLines w:val="0"/>
        <w:pageBreakBefore w:val="0"/>
        <w:widowControl w:val="0"/>
        <w:kinsoku/>
        <w:wordWrap/>
        <w:overflowPunct/>
        <w:topLinePunct w:val="0"/>
        <w:autoSpaceDE w:val="0"/>
        <w:autoSpaceDN w:val="0"/>
        <w:bidi w:val="0"/>
        <w:adjustRightInd w:val="0"/>
        <w:snapToGrid/>
        <w:spacing w:line="480" w:lineRule="exact"/>
        <w:ind w:firstLine="482" w:firstLineChars="200"/>
        <w:textAlignment w:val="auto"/>
        <w:outlineLvl w:val="0"/>
        <w:rPr>
          <w:rFonts w:hint="eastAsia"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b/>
          <w:color w:val="auto"/>
          <w:sz w:val="24"/>
          <w:szCs w:val="24"/>
          <w:highlight w:val="none"/>
          <w:lang w:eastAsia="zh-CN"/>
        </w:rPr>
        <w:t>第三条</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lang w:eastAsia="zh-CN"/>
        </w:rPr>
        <w:t>采购需求</w:t>
      </w:r>
    </w:p>
    <w:p w14:paraId="6A810598">
      <w:pPr>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一、项目概况</w:t>
      </w:r>
    </w:p>
    <w:p w14:paraId="7717E404">
      <w:pPr>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社区康园中心”是建立在街道（乡镇）层次上的综合性残疾人服务机构，属公益性、非营利社会服务单位。旨在通过工（农）疗、娱疗等职业康复和社会康复手段，为辖区内的成年精神病康复者、智力残疾人和重度肢体残疾人提供就近的日间看护、生活自理能力训练、社会适应能力辅导、职业康复和劳动技能训练、运动功能训练等日间照料服务，组织服务对象参加辅助性就业，开展文体娱乐活动等，促进残疾人与社会融合，减轻家庭负担。为规范管理，进一步提高社区康园中心服务残疾人的能力，采购人计划委托符合资质要求的社会组织或服务机构负责开平市各街道（乡镇）社区康园中心的运作和管理。</w:t>
      </w:r>
    </w:p>
    <w:p w14:paraId="72BA8DAF">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w:t>
      </w:r>
      <w:r>
        <w:rPr>
          <w:rFonts w:hint="eastAsia" w:ascii="宋体" w:hAnsi="宋体" w:cs="宋体"/>
          <w:color w:val="auto"/>
          <w:sz w:val="24"/>
          <w:szCs w:val="24"/>
          <w:highlight w:val="none"/>
        </w:rPr>
        <w:t>本次采购内容为开平市社区康园中心运作和管理服务，主要包括为三埠街道社区康园中心、水口镇社区康园中心、沙塘镇社区康园中心、龙胜镇社区康园中心、马冈镇社区康园中心、大沙镇社区康园中心、长沙街道社区康园中心、塘口镇社区康园中心、赤坎镇社区康园中心、蚬冈镇社区康园中心、金鸡镇社区康园中心、赤水镇社区康园中心、月山镇社区康园中心、苍城镇社区康园中心、百合镇社区康园中心在内的15个社区康园中心提供运作和管理服务。</w:t>
      </w:r>
    </w:p>
    <w:p w14:paraId="42A0595F">
      <w:pPr>
        <w:spacing w:line="480" w:lineRule="exact"/>
        <w:ind w:firstLine="482" w:firstLineChars="200"/>
        <w:rPr>
          <w:rFonts w:ascii="宋体" w:hAnsi="宋体" w:cs="宋体"/>
          <w:b/>
          <w:color w:val="auto"/>
          <w:sz w:val="24"/>
          <w:szCs w:val="24"/>
          <w:highlight w:val="none"/>
        </w:rPr>
      </w:pPr>
    </w:p>
    <w:p w14:paraId="194B2803">
      <w:pPr>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二、项目总体要求</w:t>
      </w:r>
    </w:p>
    <w:p w14:paraId="7C1A8E11">
      <w:pPr>
        <w:spacing w:line="480" w:lineRule="exact"/>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1、项目服务期内，中标供应商应当依据《广东省社区康园中心服务规范》（DB44/T 2256-2020）、《关于印发&lt;广东省社区康园中心星级评定办法（试行）&gt;的通知》（粤残联〔2021〕136号）、《江门残疾人社区日间托养服务标准》等有关规范要求进行管理，并达到采购人对相应社区康园中心服务星级评定的要求。若服务期内，关于上述有关规范要求，包括但不限于</w:t>
      </w:r>
      <w:r>
        <w:rPr>
          <w:rFonts w:hint="eastAsia" w:hAnsi="宋体" w:cs="宋体"/>
          <w:bCs/>
          <w:color w:val="auto"/>
          <w:sz w:val="24"/>
          <w:szCs w:val="24"/>
          <w:highlight w:val="none"/>
        </w:rPr>
        <w:t>服务费收费标准、服务标准、考核标准等，如上级政策或规范文件有调整相应标准及要求的，按调整后的标准及要求执行。</w:t>
      </w:r>
    </w:p>
    <w:p w14:paraId="2E92283E">
      <w:pPr>
        <w:spacing w:line="48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2、项目服务期内</w:t>
      </w:r>
      <w:r>
        <w:rPr>
          <w:rFonts w:hint="eastAsia" w:hAnsi="宋体" w:cs="宋体"/>
          <w:b/>
          <w:color w:val="auto"/>
          <w:sz w:val="24"/>
          <w:szCs w:val="24"/>
          <w:highlight w:val="none"/>
        </w:rPr>
        <w:t>社区康园中心运作和管理</w:t>
      </w:r>
      <w:r>
        <w:rPr>
          <w:rFonts w:hint="eastAsia" w:ascii="宋体" w:hAnsi="宋体" w:cs="宋体"/>
          <w:b/>
          <w:color w:val="auto"/>
          <w:sz w:val="24"/>
          <w:szCs w:val="24"/>
          <w:highlight w:val="none"/>
        </w:rPr>
        <w:t>服务三年采购总预算人民币705万元，其中：第一年度采购预算为人民币199.2万元；第二年度采购预算为人民币239.4万元；第三年度采购预算为人民币266.4万元，具体情况如下：</w:t>
      </w:r>
    </w:p>
    <w:tbl>
      <w:tblPr>
        <w:tblStyle w:val="1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20"/>
        <w:gridCol w:w="700"/>
        <w:gridCol w:w="700"/>
        <w:gridCol w:w="733"/>
        <w:gridCol w:w="667"/>
        <w:gridCol w:w="667"/>
        <w:gridCol w:w="716"/>
        <w:gridCol w:w="650"/>
        <w:gridCol w:w="700"/>
        <w:gridCol w:w="684"/>
        <w:gridCol w:w="963"/>
      </w:tblGrid>
      <w:tr w14:paraId="6A6F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7" w:type="dxa"/>
            <w:vMerge w:val="restart"/>
            <w:vAlign w:val="center"/>
          </w:tcPr>
          <w:p w14:paraId="0C236709">
            <w:pPr>
              <w:spacing w:line="480" w:lineRule="exact"/>
              <w:jc w:val="center"/>
              <w:rPr>
                <w:rFonts w:ascii="宋体" w:hAnsi="宋体" w:cs="黑体"/>
                <w:color w:val="auto"/>
                <w:sz w:val="24"/>
                <w:szCs w:val="24"/>
                <w:highlight w:val="none"/>
              </w:rPr>
            </w:pPr>
            <w:r>
              <w:rPr>
                <w:rFonts w:hint="eastAsia" w:ascii="宋体" w:hAnsi="宋体" w:cs="黑体"/>
                <w:color w:val="auto"/>
                <w:sz w:val="24"/>
                <w:szCs w:val="24"/>
                <w:highlight w:val="none"/>
              </w:rPr>
              <w:t>序号</w:t>
            </w:r>
          </w:p>
        </w:tc>
        <w:tc>
          <w:tcPr>
            <w:tcW w:w="1520" w:type="dxa"/>
            <w:vMerge w:val="restart"/>
            <w:vAlign w:val="center"/>
          </w:tcPr>
          <w:p w14:paraId="0D8A608F">
            <w:pPr>
              <w:spacing w:line="480" w:lineRule="exact"/>
              <w:jc w:val="center"/>
              <w:rPr>
                <w:rFonts w:ascii="宋体" w:hAnsi="宋体" w:cs="黑体"/>
                <w:color w:val="auto"/>
                <w:sz w:val="24"/>
                <w:szCs w:val="24"/>
                <w:highlight w:val="none"/>
              </w:rPr>
            </w:pPr>
            <w:r>
              <w:rPr>
                <w:rFonts w:hint="eastAsia" w:ascii="宋体" w:hAnsi="宋体" w:cs="黑体"/>
                <w:color w:val="auto"/>
                <w:sz w:val="24"/>
                <w:szCs w:val="24"/>
                <w:highlight w:val="none"/>
              </w:rPr>
              <w:t>社区康园中心</w:t>
            </w:r>
          </w:p>
        </w:tc>
        <w:tc>
          <w:tcPr>
            <w:tcW w:w="7180" w:type="dxa"/>
            <w:gridSpan w:val="10"/>
            <w:vAlign w:val="center"/>
          </w:tcPr>
          <w:p w14:paraId="1816B8DC">
            <w:pPr>
              <w:adjustRightInd/>
              <w:spacing w:line="400" w:lineRule="exact"/>
              <w:jc w:val="center"/>
              <w:textAlignment w:val="auto"/>
              <w:rPr>
                <w:rFonts w:ascii="宋体" w:hAnsi="宋体" w:cs="黑体"/>
                <w:color w:val="auto"/>
                <w:sz w:val="24"/>
                <w:szCs w:val="24"/>
                <w:highlight w:val="none"/>
              </w:rPr>
            </w:pPr>
            <w:r>
              <w:rPr>
                <w:rFonts w:hint="eastAsia" w:ascii="宋体" w:hAnsi="宋体" w:cs="黑体"/>
                <w:color w:val="auto"/>
                <w:sz w:val="24"/>
                <w:szCs w:val="24"/>
                <w:highlight w:val="none"/>
              </w:rPr>
              <w:t>学员计划人数及服务费限额</w:t>
            </w:r>
          </w:p>
        </w:tc>
      </w:tr>
      <w:tr w14:paraId="0B0F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57" w:type="dxa"/>
            <w:vMerge w:val="continue"/>
            <w:vAlign w:val="center"/>
          </w:tcPr>
          <w:p w14:paraId="3F826B85">
            <w:pPr>
              <w:spacing w:line="480" w:lineRule="exact"/>
              <w:jc w:val="center"/>
              <w:rPr>
                <w:rFonts w:ascii="宋体" w:hAnsi="宋体" w:cs="黑体"/>
                <w:color w:val="auto"/>
                <w:sz w:val="24"/>
                <w:szCs w:val="24"/>
                <w:highlight w:val="none"/>
              </w:rPr>
            </w:pPr>
          </w:p>
        </w:tc>
        <w:tc>
          <w:tcPr>
            <w:tcW w:w="1520" w:type="dxa"/>
            <w:vMerge w:val="continue"/>
            <w:vAlign w:val="center"/>
          </w:tcPr>
          <w:p w14:paraId="7C9C54F0">
            <w:pPr>
              <w:spacing w:line="480" w:lineRule="exact"/>
              <w:jc w:val="center"/>
              <w:rPr>
                <w:rFonts w:ascii="宋体" w:hAnsi="宋体" w:cs="黑体"/>
                <w:color w:val="auto"/>
                <w:sz w:val="24"/>
                <w:szCs w:val="24"/>
                <w:highlight w:val="none"/>
              </w:rPr>
            </w:pPr>
          </w:p>
        </w:tc>
        <w:tc>
          <w:tcPr>
            <w:tcW w:w="2133" w:type="dxa"/>
            <w:gridSpan w:val="3"/>
            <w:vAlign w:val="center"/>
          </w:tcPr>
          <w:p w14:paraId="673015C5">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2025年度</w:t>
            </w:r>
          </w:p>
          <w:p w14:paraId="3C2E1C1C">
            <w:pPr>
              <w:adjustRightInd/>
              <w:spacing w:line="300" w:lineRule="exact"/>
              <w:jc w:val="center"/>
              <w:textAlignment w:val="auto"/>
              <w:rPr>
                <w:rFonts w:ascii="宋体" w:hAnsi="宋体" w:cs="黑体"/>
                <w:color w:val="auto"/>
                <w:kern w:val="2"/>
                <w:szCs w:val="21"/>
                <w:highlight w:val="none"/>
              </w:rPr>
            </w:pPr>
            <w:r>
              <w:rPr>
                <w:rFonts w:hint="eastAsia" w:ascii="宋体" w:hAnsi="宋体" w:cs="黑体"/>
                <w:color w:val="auto"/>
                <w:sz w:val="15"/>
                <w:szCs w:val="15"/>
                <w:highlight w:val="none"/>
              </w:rPr>
              <w:t>(2025.10-2026.10)</w:t>
            </w:r>
          </w:p>
        </w:tc>
        <w:tc>
          <w:tcPr>
            <w:tcW w:w="2050" w:type="dxa"/>
            <w:gridSpan w:val="3"/>
            <w:vAlign w:val="center"/>
          </w:tcPr>
          <w:p w14:paraId="6CB1C889">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2026年度</w:t>
            </w:r>
          </w:p>
          <w:p w14:paraId="4AAF5640">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 w:val="15"/>
                <w:szCs w:val="15"/>
                <w:highlight w:val="none"/>
              </w:rPr>
              <w:t>(2026.10-2027.10)</w:t>
            </w:r>
          </w:p>
        </w:tc>
        <w:tc>
          <w:tcPr>
            <w:tcW w:w="2034" w:type="dxa"/>
            <w:gridSpan w:val="3"/>
            <w:vAlign w:val="center"/>
          </w:tcPr>
          <w:p w14:paraId="603AB1D2">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2027年度</w:t>
            </w:r>
          </w:p>
          <w:p w14:paraId="6F70B43D">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 w:val="15"/>
                <w:szCs w:val="15"/>
                <w:highlight w:val="none"/>
              </w:rPr>
              <w:t>(2027.10-2028.10)</w:t>
            </w:r>
          </w:p>
        </w:tc>
        <w:tc>
          <w:tcPr>
            <w:tcW w:w="963" w:type="dxa"/>
            <w:vMerge w:val="restart"/>
            <w:vAlign w:val="center"/>
          </w:tcPr>
          <w:p w14:paraId="4F314E87">
            <w:pPr>
              <w:adjustRightInd/>
              <w:spacing w:line="36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总额</w:t>
            </w:r>
          </w:p>
          <w:p w14:paraId="19FC8551">
            <w:pPr>
              <w:adjustRightInd/>
              <w:spacing w:line="36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限额</w:t>
            </w:r>
          </w:p>
          <w:p w14:paraId="235F0B7C">
            <w:pPr>
              <w:adjustRightInd/>
              <w:spacing w:line="36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（万元）</w:t>
            </w:r>
          </w:p>
        </w:tc>
      </w:tr>
      <w:tr w14:paraId="17E0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57" w:type="dxa"/>
            <w:vMerge w:val="continue"/>
            <w:vAlign w:val="center"/>
          </w:tcPr>
          <w:p w14:paraId="03C37819">
            <w:pPr>
              <w:adjustRightInd/>
              <w:spacing w:line="360" w:lineRule="exact"/>
              <w:jc w:val="center"/>
              <w:textAlignment w:val="auto"/>
              <w:rPr>
                <w:color w:val="auto"/>
                <w:highlight w:val="none"/>
              </w:rPr>
            </w:pPr>
          </w:p>
        </w:tc>
        <w:tc>
          <w:tcPr>
            <w:tcW w:w="1520" w:type="dxa"/>
            <w:vMerge w:val="continue"/>
            <w:vAlign w:val="center"/>
          </w:tcPr>
          <w:p w14:paraId="15FA9966">
            <w:pPr>
              <w:adjustRightInd/>
              <w:spacing w:line="360" w:lineRule="exact"/>
              <w:jc w:val="center"/>
              <w:textAlignment w:val="auto"/>
              <w:rPr>
                <w:color w:val="auto"/>
                <w:highlight w:val="none"/>
              </w:rPr>
            </w:pPr>
          </w:p>
        </w:tc>
        <w:tc>
          <w:tcPr>
            <w:tcW w:w="700" w:type="dxa"/>
            <w:vAlign w:val="center"/>
          </w:tcPr>
          <w:p w14:paraId="734FDC25">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学员</w:t>
            </w:r>
          </w:p>
          <w:p w14:paraId="1DC88385">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计划</w:t>
            </w:r>
          </w:p>
          <w:p w14:paraId="2C120811">
            <w:pPr>
              <w:adjustRightInd/>
              <w:spacing w:line="300" w:lineRule="exact"/>
              <w:jc w:val="center"/>
              <w:textAlignment w:val="auto"/>
              <w:rPr>
                <w:rFonts w:ascii="宋体" w:hAnsi="宋体" w:cs="黑体"/>
                <w:color w:val="auto"/>
                <w:kern w:val="2"/>
                <w:szCs w:val="21"/>
                <w:highlight w:val="none"/>
              </w:rPr>
            </w:pPr>
            <w:r>
              <w:rPr>
                <w:rFonts w:hint="eastAsia" w:ascii="宋体" w:hAnsi="宋体" w:cs="黑体"/>
                <w:color w:val="auto"/>
                <w:kern w:val="2"/>
                <w:szCs w:val="21"/>
                <w:highlight w:val="none"/>
              </w:rPr>
              <w:t>人数</w:t>
            </w:r>
          </w:p>
        </w:tc>
        <w:tc>
          <w:tcPr>
            <w:tcW w:w="700" w:type="dxa"/>
            <w:vAlign w:val="center"/>
          </w:tcPr>
          <w:p w14:paraId="1EE85F26">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星级</w:t>
            </w:r>
          </w:p>
          <w:p w14:paraId="35F13D1A">
            <w:pPr>
              <w:adjustRightInd/>
              <w:spacing w:line="300" w:lineRule="exact"/>
              <w:jc w:val="center"/>
              <w:textAlignment w:val="auto"/>
              <w:rPr>
                <w:rFonts w:ascii="宋体" w:hAnsi="宋体" w:cs="黑体"/>
                <w:color w:val="auto"/>
                <w:kern w:val="2"/>
                <w:szCs w:val="21"/>
                <w:highlight w:val="none"/>
              </w:rPr>
            </w:pPr>
            <w:r>
              <w:rPr>
                <w:rFonts w:hint="eastAsia" w:ascii="宋体" w:hAnsi="宋体" w:cs="黑体"/>
                <w:color w:val="auto"/>
                <w:szCs w:val="21"/>
                <w:highlight w:val="none"/>
              </w:rPr>
              <w:t>标准</w:t>
            </w:r>
          </w:p>
        </w:tc>
        <w:tc>
          <w:tcPr>
            <w:tcW w:w="733" w:type="dxa"/>
            <w:vAlign w:val="center"/>
          </w:tcPr>
          <w:p w14:paraId="6559EB79">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年度</w:t>
            </w:r>
          </w:p>
          <w:p w14:paraId="2284FFA6">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限额</w:t>
            </w:r>
          </w:p>
          <w:p w14:paraId="1A52053A">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（万元）</w:t>
            </w:r>
          </w:p>
        </w:tc>
        <w:tc>
          <w:tcPr>
            <w:tcW w:w="667" w:type="dxa"/>
            <w:vAlign w:val="center"/>
          </w:tcPr>
          <w:p w14:paraId="228C0AB5">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学员</w:t>
            </w:r>
          </w:p>
          <w:p w14:paraId="3D31F1EC">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计划</w:t>
            </w:r>
          </w:p>
          <w:p w14:paraId="59C0EA6D">
            <w:pPr>
              <w:adjustRightInd/>
              <w:spacing w:line="300" w:lineRule="exact"/>
              <w:jc w:val="center"/>
              <w:textAlignment w:val="auto"/>
              <w:rPr>
                <w:rFonts w:ascii="宋体" w:hAnsi="宋体" w:cs="黑体"/>
                <w:color w:val="auto"/>
                <w:kern w:val="2"/>
                <w:szCs w:val="21"/>
                <w:highlight w:val="none"/>
              </w:rPr>
            </w:pPr>
            <w:r>
              <w:rPr>
                <w:rFonts w:hint="eastAsia" w:ascii="宋体" w:hAnsi="宋体" w:cs="黑体"/>
                <w:color w:val="auto"/>
                <w:kern w:val="2"/>
                <w:szCs w:val="21"/>
                <w:highlight w:val="none"/>
              </w:rPr>
              <w:t>人数</w:t>
            </w:r>
          </w:p>
        </w:tc>
        <w:tc>
          <w:tcPr>
            <w:tcW w:w="667" w:type="dxa"/>
            <w:vAlign w:val="center"/>
          </w:tcPr>
          <w:p w14:paraId="7739D5B9">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星级</w:t>
            </w:r>
          </w:p>
          <w:p w14:paraId="2245A17C">
            <w:pPr>
              <w:adjustRightInd/>
              <w:spacing w:line="300" w:lineRule="exact"/>
              <w:jc w:val="center"/>
              <w:textAlignment w:val="auto"/>
              <w:rPr>
                <w:rFonts w:ascii="宋体" w:hAnsi="宋体" w:cs="黑体"/>
                <w:color w:val="auto"/>
                <w:kern w:val="2"/>
                <w:szCs w:val="21"/>
                <w:highlight w:val="none"/>
              </w:rPr>
            </w:pPr>
            <w:r>
              <w:rPr>
                <w:rFonts w:hint="eastAsia" w:ascii="宋体" w:hAnsi="宋体" w:cs="黑体"/>
                <w:color w:val="auto"/>
                <w:szCs w:val="21"/>
                <w:highlight w:val="none"/>
              </w:rPr>
              <w:t>标准</w:t>
            </w:r>
          </w:p>
        </w:tc>
        <w:tc>
          <w:tcPr>
            <w:tcW w:w="716" w:type="dxa"/>
            <w:vAlign w:val="center"/>
          </w:tcPr>
          <w:p w14:paraId="7E78420F">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年度</w:t>
            </w:r>
          </w:p>
          <w:p w14:paraId="5F0E4A3C">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限额</w:t>
            </w:r>
          </w:p>
          <w:p w14:paraId="1A608FB1">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（万元）</w:t>
            </w:r>
          </w:p>
        </w:tc>
        <w:tc>
          <w:tcPr>
            <w:tcW w:w="650" w:type="dxa"/>
            <w:vAlign w:val="center"/>
          </w:tcPr>
          <w:p w14:paraId="5E7B2611">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学员</w:t>
            </w:r>
          </w:p>
          <w:p w14:paraId="4DB0F389">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计划</w:t>
            </w:r>
          </w:p>
          <w:p w14:paraId="0D69A641">
            <w:pPr>
              <w:adjustRightInd/>
              <w:spacing w:line="300" w:lineRule="exact"/>
              <w:jc w:val="center"/>
              <w:textAlignment w:val="auto"/>
              <w:rPr>
                <w:rFonts w:ascii="宋体" w:hAnsi="宋体" w:cs="黑体"/>
                <w:color w:val="auto"/>
                <w:kern w:val="2"/>
                <w:szCs w:val="21"/>
                <w:highlight w:val="none"/>
              </w:rPr>
            </w:pPr>
            <w:r>
              <w:rPr>
                <w:rFonts w:hint="eastAsia" w:ascii="宋体" w:hAnsi="宋体" w:cs="黑体"/>
                <w:color w:val="auto"/>
                <w:kern w:val="2"/>
                <w:szCs w:val="21"/>
                <w:highlight w:val="none"/>
              </w:rPr>
              <w:t>人数</w:t>
            </w:r>
          </w:p>
        </w:tc>
        <w:tc>
          <w:tcPr>
            <w:tcW w:w="700" w:type="dxa"/>
            <w:vAlign w:val="center"/>
          </w:tcPr>
          <w:p w14:paraId="408B13A8">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星级</w:t>
            </w:r>
          </w:p>
          <w:p w14:paraId="2087B99F">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标准</w:t>
            </w:r>
          </w:p>
        </w:tc>
        <w:tc>
          <w:tcPr>
            <w:tcW w:w="684" w:type="dxa"/>
            <w:vAlign w:val="center"/>
          </w:tcPr>
          <w:p w14:paraId="73E42910">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年度</w:t>
            </w:r>
          </w:p>
          <w:p w14:paraId="086E8BBF">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限额</w:t>
            </w:r>
          </w:p>
          <w:p w14:paraId="7EA9D39D">
            <w:pPr>
              <w:adjustRightInd/>
              <w:spacing w:line="300" w:lineRule="exact"/>
              <w:jc w:val="center"/>
              <w:textAlignment w:val="auto"/>
              <w:rPr>
                <w:rFonts w:ascii="宋体" w:hAnsi="宋体" w:cs="黑体"/>
                <w:color w:val="auto"/>
                <w:szCs w:val="21"/>
                <w:highlight w:val="none"/>
              </w:rPr>
            </w:pPr>
            <w:r>
              <w:rPr>
                <w:rFonts w:hint="eastAsia" w:ascii="宋体" w:hAnsi="宋体" w:cs="黑体"/>
                <w:color w:val="auto"/>
                <w:szCs w:val="21"/>
                <w:highlight w:val="none"/>
              </w:rPr>
              <w:t>（万元）</w:t>
            </w:r>
          </w:p>
        </w:tc>
        <w:tc>
          <w:tcPr>
            <w:tcW w:w="963" w:type="dxa"/>
            <w:vMerge w:val="continue"/>
            <w:vAlign w:val="center"/>
          </w:tcPr>
          <w:p w14:paraId="5A1EE239">
            <w:pPr>
              <w:adjustRightInd/>
              <w:spacing w:line="360" w:lineRule="exact"/>
              <w:jc w:val="center"/>
              <w:textAlignment w:val="auto"/>
              <w:rPr>
                <w:rFonts w:ascii="宋体" w:hAnsi="宋体" w:cs="黑体"/>
                <w:color w:val="auto"/>
                <w:szCs w:val="21"/>
                <w:highlight w:val="none"/>
              </w:rPr>
            </w:pPr>
          </w:p>
        </w:tc>
      </w:tr>
      <w:tr w14:paraId="5C7C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71908D0F">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20" w:type="dxa"/>
            <w:vAlign w:val="center"/>
          </w:tcPr>
          <w:p w14:paraId="74B2F064">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三埠街道</w:t>
            </w:r>
          </w:p>
          <w:p w14:paraId="411DED7C">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社区康园中心</w:t>
            </w:r>
          </w:p>
        </w:tc>
        <w:tc>
          <w:tcPr>
            <w:tcW w:w="700" w:type="dxa"/>
            <w:vAlign w:val="center"/>
          </w:tcPr>
          <w:p w14:paraId="103D75A9">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35</w:t>
            </w:r>
          </w:p>
        </w:tc>
        <w:tc>
          <w:tcPr>
            <w:tcW w:w="700" w:type="dxa"/>
            <w:vAlign w:val="center"/>
          </w:tcPr>
          <w:p w14:paraId="46DB47E6">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四星</w:t>
            </w:r>
          </w:p>
        </w:tc>
        <w:tc>
          <w:tcPr>
            <w:tcW w:w="733" w:type="dxa"/>
            <w:vAlign w:val="center"/>
          </w:tcPr>
          <w:p w14:paraId="7B768841">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33.6</w:t>
            </w:r>
          </w:p>
        </w:tc>
        <w:tc>
          <w:tcPr>
            <w:tcW w:w="667" w:type="dxa"/>
            <w:vAlign w:val="center"/>
          </w:tcPr>
          <w:p w14:paraId="6548F9D6">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35</w:t>
            </w:r>
          </w:p>
        </w:tc>
        <w:tc>
          <w:tcPr>
            <w:tcW w:w="667" w:type="dxa"/>
            <w:vAlign w:val="center"/>
          </w:tcPr>
          <w:p w14:paraId="07EAC419">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四星</w:t>
            </w:r>
          </w:p>
        </w:tc>
        <w:tc>
          <w:tcPr>
            <w:tcW w:w="716" w:type="dxa"/>
            <w:vAlign w:val="center"/>
          </w:tcPr>
          <w:p w14:paraId="32263155">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33.6</w:t>
            </w:r>
          </w:p>
        </w:tc>
        <w:tc>
          <w:tcPr>
            <w:tcW w:w="650" w:type="dxa"/>
            <w:vAlign w:val="center"/>
          </w:tcPr>
          <w:p w14:paraId="6287FF72">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35</w:t>
            </w:r>
          </w:p>
        </w:tc>
        <w:tc>
          <w:tcPr>
            <w:tcW w:w="700" w:type="dxa"/>
            <w:vAlign w:val="center"/>
          </w:tcPr>
          <w:p w14:paraId="29E4A442">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四星</w:t>
            </w:r>
          </w:p>
        </w:tc>
        <w:tc>
          <w:tcPr>
            <w:tcW w:w="684" w:type="dxa"/>
            <w:vAlign w:val="center"/>
          </w:tcPr>
          <w:p w14:paraId="04606008">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33.6</w:t>
            </w:r>
          </w:p>
        </w:tc>
        <w:tc>
          <w:tcPr>
            <w:tcW w:w="963" w:type="dxa"/>
            <w:vAlign w:val="center"/>
          </w:tcPr>
          <w:p w14:paraId="65DCDD9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100.8</w:t>
            </w:r>
          </w:p>
        </w:tc>
      </w:tr>
      <w:tr w14:paraId="1D7D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2DD6567">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2</w:t>
            </w:r>
          </w:p>
        </w:tc>
        <w:tc>
          <w:tcPr>
            <w:tcW w:w="1520" w:type="dxa"/>
            <w:vAlign w:val="center"/>
          </w:tcPr>
          <w:p w14:paraId="3D261627">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水口镇</w:t>
            </w:r>
          </w:p>
          <w:p w14:paraId="6DDC3F0F">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12D4CB29">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20</w:t>
            </w:r>
          </w:p>
        </w:tc>
        <w:tc>
          <w:tcPr>
            <w:tcW w:w="700" w:type="dxa"/>
            <w:vAlign w:val="center"/>
          </w:tcPr>
          <w:p w14:paraId="371CA99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065CE9CB">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12</w:t>
            </w:r>
          </w:p>
        </w:tc>
        <w:tc>
          <w:tcPr>
            <w:tcW w:w="667" w:type="dxa"/>
            <w:vAlign w:val="center"/>
          </w:tcPr>
          <w:p w14:paraId="31B4775F">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20</w:t>
            </w:r>
          </w:p>
        </w:tc>
        <w:tc>
          <w:tcPr>
            <w:tcW w:w="667" w:type="dxa"/>
            <w:vAlign w:val="center"/>
          </w:tcPr>
          <w:p w14:paraId="735F4BB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16" w:type="dxa"/>
            <w:vAlign w:val="center"/>
          </w:tcPr>
          <w:p w14:paraId="5E5F933E">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14.4</w:t>
            </w:r>
          </w:p>
        </w:tc>
        <w:tc>
          <w:tcPr>
            <w:tcW w:w="650" w:type="dxa"/>
            <w:vAlign w:val="center"/>
          </w:tcPr>
          <w:p w14:paraId="31164DA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20</w:t>
            </w:r>
          </w:p>
        </w:tc>
        <w:tc>
          <w:tcPr>
            <w:tcW w:w="700" w:type="dxa"/>
            <w:vAlign w:val="center"/>
          </w:tcPr>
          <w:p w14:paraId="1924562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2C81A86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16.8</w:t>
            </w:r>
          </w:p>
        </w:tc>
        <w:tc>
          <w:tcPr>
            <w:tcW w:w="963" w:type="dxa"/>
            <w:vAlign w:val="center"/>
          </w:tcPr>
          <w:p w14:paraId="47E95AAC">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43.2</w:t>
            </w:r>
          </w:p>
        </w:tc>
      </w:tr>
      <w:tr w14:paraId="6E70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611645B1">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3</w:t>
            </w:r>
          </w:p>
        </w:tc>
        <w:tc>
          <w:tcPr>
            <w:tcW w:w="1520" w:type="dxa"/>
            <w:vAlign w:val="center"/>
          </w:tcPr>
          <w:p w14:paraId="5A97E8F5">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沙塘镇</w:t>
            </w:r>
          </w:p>
          <w:p w14:paraId="32AFDF73">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731E103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700" w:type="dxa"/>
            <w:vAlign w:val="center"/>
          </w:tcPr>
          <w:p w14:paraId="21203CC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7461B772">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9</w:t>
            </w:r>
          </w:p>
        </w:tc>
        <w:tc>
          <w:tcPr>
            <w:tcW w:w="667" w:type="dxa"/>
            <w:vAlign w:val="center"/>
          </w:tcPr>
          <w:p w14:paraId="685F8B1D">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667" w:type="dxa"/>
            <w:vAlign w:val="center"/>
          </w:tcPr>
          <w:p w14:paraId="09AFE9EF">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16" w:type="dxa"/>
            <w:vAlign w:val="center"/>
          </w:tcPr>
          <w:p w14:paraId="2A66345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10.8</w:t>
            </w:r>
          </w:p>
        </w:tc>
        <w:tc>
          <w:tcPr>
            <w:tcW w:w="650" w:type="dxa"/>
            <w:vAlign w:val="center"/>
          </w:tcPr>
          <w:p w14:paraId="42CD13B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700" w:type="dxa"/>
            <w:vAlign w:val="center"/>
          </w:tcPr>
          <w:p w14:paraId="3E64104E">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684" w:type="dxa"/>
            <w:vAlign w:val="center"/>
          </w:tcPr>
          <w:p w14:paraId="7FE1D052">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14.4</w:t>
            </w:r>
          </w:p>
        </w:tc>
        <w:tc>
          <w:tcPr>
            <w:tcW w:w="963" w:type="dxa"/>
            <w:vAlign w:val="center"/>
          </w:tcPr>
          <w:p w14:paraId="45C38331">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34.2</w:t>
            </w:r>
          </w:p>
        </w:tc>
      </w:tr>
      <w:tr w14:paraId="023F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6597D35B">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4</w:t>
            </w:r>
          </w:p>
        </w:tc>
        <w:tc>
          <w:tcPr>
            <w:tcW w:w="1520" w:type="dxa"/>
            <w:vAlign w:val="center"/>
          </w:tcPr>
          <w:p w14:paraId="029D374D">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龙胜镇</w:t>
            </w:r>
          </w:p>
          <w:p w14:paraId="5FD5EFCB">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35052D8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700" w:type="dxa"/>
            <w:vAlign w:val="center"/>
          </w:tcPr>
          <w:p w14:paraId="6A173425">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5D73371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12</w:t>
            </w:r>
          </w:p>
        </w:tc>
        <w:tc>
          <w:tcPr>
            <w:tcW w:w="667" w:type="dxa"/>
            <w:vAlign w:val="center"/>
          </w:tcPr>
          <w:p w14:paraId="3A71456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667" w:type="dxa"/>
            <w:vAlign w:val="center"/>
          </w:tcPr>
          <w:p w14:paraId="6B632F68">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16" w:type="dxa"/>
            <w:vAlign w:val="center"/>
          </w:tcPr>
          <w:p w14:paraId="1419BBE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14.4</w:t>
            </w:r>
          </w:p>
        </w:tc>
        <w:tc>
          <w:tcPr>
            <w:tcW w:w="650" w:type="dxa"/>
            <w:vAlign w:val="center"/>
          </w:tcPr>
          <w:p w14:paraId="4CA79953">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700" w:type="dxa"/>
            <w:vAlign w:val="center"/>
          </w:tcPr>
          <w:p w14:paraId="05D021F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684" w:type="dxa"/>
            <w:vAlign w:val="center"/>
          </w:tcPr>
          <w:p w14:paraId="462E1AD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14.4</w:t>
            </w:r>
          </w:p>
        </w:tc>
        <w:tc>
          <w:tcPr>
            <w:tcW w:w="963" w:type="dxa"/>
            <w:vAlign w:val="center"/>
          </w:tcPr>
          <w:p w14:paraId="22C74764">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40.8</w:t>
            </w:r>
          </w:p>
        </w:tc>
      </w:tr>
      <w:tr w14:paraId="32A4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3461B760">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5</w:t>
            </w:r>
          </w:p>
        </w:tc>
        <w:tc>
          <w:tcPr>
            <w:tcW w:w="1520" w:type="dxa"/>
            <w:vAlign w:val="center"/>
          </w:tcPr>
          <w:p w14:paraId="5529FE00">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马冈镇</w:t>
            </w:r>
          </w:p>
          <w:p w14:paraId="29D0C63D">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7161BE81">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700" w:type="dxa"/>
            <w:vAlign w:val="center"/>
          </w:tcPr>
          <w:p w14:paraId="77BABFA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33" w:type="dxa"/>
            <w:vAlign w:val="center"/>
          </w:tcPr>
          <w:p w14:paraId="3C4F2221">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10.8</w:t>
            </w:r>
          </w:p>
        </w:tc>
        <w:tc>
          <w:tcPr>
            <w:tcW w:w="667" w:type="dxa"/>
            <w:vAlign w:val="center"/>
          </w:tcPr>
          <w:p w14:paraId="4C747EB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20</w:t>
            </w:r>
          </w:p>
        </w:tc>
        <w:tc>
          <w:tcPr>
            <w:tcW w:w="667" w:type="dxa"/>
            <w:vAlign w:val="center"/>
          </w:tcPr>
          <w:p w14:paraId="21EFFC53">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716" w:type="dxa"/>
            <w:vAlign w:val="center"/>
          </w:tcPr>
          <w:p w14:paraId="277587F6">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16.8</w:t>
            </w:r>
          </w:p>
        </w:tc>
        <w:tc>
          <w:tcPr>
            <w:tcW w:w="650" w:type="dxa"/>
            <w:vAlign w:val="center"/>
          </w:tcPr>
          <w:p w14:paraId="5C1781C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20</w:t>
            </w:r>
          </w:p>
        </w:tc>
        <w:tc>
          <w:tcPr>
            <w:tcW w:w="700" w:type="dxa"/>
            <w:vAlign w:val="center"/>
          </w:tcPr>
          <w:p w14:paraId="1794347D">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7FF96BB8">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16.8</w:t>
            </w:r>
          </w:p>
        </w:tc>
        <w:tc>
          <w:tcPr>
            <w:tcW w:w="963" w:type="dxa"/>
            <w:vAlign w:val="center"/>
          </w:tcPr>
          <w:p w14:paraId="3124DA28">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44.4</w:t>
            </w:r>
          </w:p>
        </w:tc>
      </w:tr>
      <w:tr w14:paraId="389F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02D3EE8F">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6</w:t>
            </w:r>
          </w:p>
        </w:tc>
        <w:tc>
          <w:tcPr>
            <w:tcW w:w="1520" w:type="dxa"/>
            <w:vAlign w:val="center"/>
          </w:tcPr>
          <w:p w14:paraId="003BE096">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大沙镇</w:t>
            </w:r>
          </w:p>
          <w:p w14:paraId="716F26FF">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186DF85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15</w:t>
            </w:r>
          </w:p>
        </w:tc>
        <w:tc>
          <w:tcPr>
            <w:tcW w:w="700" w:type="dxa"/>
            <w:vAlign w:val="center"/>
          </w:tcPr>
          <w:p w14:paraId="56ADA9D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568ED93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9</w:t>
            </w:r>
          </w:p>
        </w:tc>
        <w:tc>
          <w:tcPr>
            <w:tcW w:w="667" w:type="dxa"/>
            <w:vAlign w:val="center"/>
          </w:tcPr>
          <w:p w14:paraId="0058AD2B">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15</w:t>
            </w:r>
          </w:p>
        </w:tc>
        <w:tc>
          <w:tcPr>
            <w:tcW w:w="667" w:type="dxa"/>
            <w:vAlign w:val="center"/>
          </w:tcPr>
          <w:p w14:paraId="3D0ADFF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16" w:type="dxa"/>
            <w:vAlign w:val="center"/>
          </w:tcPr>
          <w:p w14:paraId="43750F4D">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9</w:t>
            </w:r>
          </w:p>
        </w:tc>
        <w:tc>
          <w:tcPr>
            <w:tcW w:w="650" w:type="dxa"/>
            <w:vAlign w:val="center"/>
          </w:tcPr>
          <w:p w14:paraId="4B6881D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15</w:t>
            </w:r>
          </w:p>
        </w:tc>
        <w:tc>
          <w:tcPr>
            <w:tcW w:w="700" w:type="dxa"/>
            <w:vAlign w:val="center"/>
          </w:tcPr>
          <w:p w14:paraId="45F7D4E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684" w:type="dxa"/>
            <w:vAlign w:val="center"/>
          </w:tcPr>
          <w:p w14:paraId="02E8A28D">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10.8</w:t>
            </w:r>
          </w:p>
        </w:tc>
        <w:tc>
          <w:tcPr>
            <w:tcW w:w="963" w:type="dxa"/>
            <w:vAlign w:val="center"/>
          </w:tcPr>
          <w:p w14:paraId="2D2A11FD">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28.8</w:t>
            </w:r>
          </w:p>
        </w:tc>
      </w:tr>
      <w:tr w14:paraId="45CA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7" w:type="dxa"/>
            <w:vAlign w:val="center"/>
          </w:tcPr>
          <w:p w14:paraId="4CF37AD1">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7</w:t>
            </w:r>
          </w:p>
        </w:tc>
        <w:tc>
          <w:tcPr>
            <w:tcW w:w="1520" w:type="dxa"/>
            <w:vAlign w:val="center"/>
          </w:tcPr>
          <w:p w14:paraId="46C04909">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长沙街道</w:t>
            </w:r>
          </w:p>
          <w:p w14:paraId="38FE8B63">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社区康园中心</w:t>
            </w:r>
          </w:p>
        </w:tc>
        <w:tc>
          <w:tcPr>
            <w:tcW w:w="700" w:type="dxa"/>
            <w:vAlign w:val="center"/>
          </w:tcPr>
          <w:p w14:paraId="3A7D277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25</w:t>
            </w:r>
          </w:p>
        </w:tc>
        <w:tc>
          <w:tcPr>
            <w:tcW w:w="700" w:type="dxa"/>
            <w:vAlign w:val="center"/>
          </w:tcPr>
          <w:p w14:paraId="0ABFAA6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733" w:type="dxa"/>
            <w:vAlign w:val="center"/>
          </w:tcPr>
          <w:p w14:paraId="0962A9BE">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21</w:t>
            </w:r>
          </w:p>
        </w:tc>
        <w:tc>
          <w:tcPr>
            <w:tcW w:w="667" w:type="dxa"/>
            <w:vAlign w:val="center"/>
          </w:tcPr>
          <w:p w14:paraId="36DFEC1A">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25</w:t>
            </w:r>
          </w:p>
        </w:tc>
        <w:tc>
          <w:tcPr>
            <w:tcW w:w="667" w:type="dxa"/>
            <w:vAlign w:val="center"/>
          </w:tcPr>
          <w:p w14:paraId="3C90B58F">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716" w:type="dxa"/>
            <w:vAlign w:val="center"/>
          </w:tcPr>
          <w:p w14:paraId="6ECFB73F">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21</w:t>
            </w:r>
          </w:p>
        </w:tc>
        <w:tc>
          <w:tcPr>
            <w:tcW w:w="650" w:type="dxa"/>
            <w:vAlign w:val="center"/>
          </w:tcPr>
          <w:p w14:paraId="740439B2">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25</w:t>
            </w:r>
          </w:p>
        </w:tc>
        <w:tc>
          <w:tcPr>
            <w:tcW w:w="700" w:type="dxa"/>
            <w:vAlign w:val="center"/>
          </w:tcPr>
          <w:p w14:paraId="34D4E70D">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三星</w:t>
            </w:r>
          </w:p>
        </w:tc>
        <w:tc>
          <w:tcPr>
            <w:tcW w:w="684" w:type="dxa"/>
            <w:vAlign w:val="center"/>
          </w:tcPr>
          <w:p w14:paraId="3F68D23E">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21</w:t>
            </w:r>
          </w:p>
        </w:tc>
        <w:tc>
          <w:tcPr>
            <w:tcW w:w="963" w:type="dxa"/>
            <w:vAlign w:val="center"/>
          </w:tcPr>
          <w:p w14:paraId="0C9921E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63</w:t>
            </w:r>
          </w:p>
        </w:tc>
      </w:tr>
      <w:tr w14:paraId="3A33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39AEA42E">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8</w:t>
            </w:r>
          </w:p>
        </w:tc>
        <w:tc>
          <w:tcPr>
            <w:tcW w:w="1520" w:type="dxa"/>
            <w:vAlign w:val="center"/>
          </w:tcPr>
          <w:p w14:paraId="014BD529">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塘口镇</w:t>
            </w:r>
          </w:p>
          <w:p w14:paraId="54EB9DAE">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5636DB2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700" w:type="dxa"/>
            <w:vAlign w:val="center"/>
          </w:tcPr>
          <w:p w14:paraId="787798B8">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424AECD5">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9</w:t>
            </w:r>
          </w:p>
        </w:tc>
        <w:tc>
          <w:tcPr>
            <w:tcW w:w="667" w:type="dxa"/>
            <w:vAlign w:val="center"/>
          </w:tcPr>
          <w:p w14:paraId="6ADD00EE">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667" w:type="dxa"/>
            <w:vAlign w:val="center"/>
          </w:tcPr>
          <w:p w14:paraId="7E4E51DF">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16" w:type="dxa"/>
            <w:vAlign w:val="center"/>
          </w:tcPr>
          <w:p w14:paraId="3918ED4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14.4</w:t>
            </w:r>
          </w:p>
        </w:tc>
        <w:tc>
          <w:tcPr>
            <w:tcW w:w="650" w:type="dxa"/>
            <w:vAlign w:val="center"/>
          </w:tcPr>
          <w:p w14:paraId="2DAD9976">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700" w:type="dxa"/>
            <w:vAlign w:val="center"/>
          </w:tcPr>
          <w:p w14:paraId="7D7253C3">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7D9C650D">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16.8</w:t>
            </w:r>
          </w:p>
        </w:tc>
        <w:tc>
          <w:tcPr>
            <w:tcW w:w="963" w:type="dxa"/>
            <w:vAlign w:val="center"/>
          </w:tcPr>
          <w:p w14:paraId="1AEBECCC">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40.2</w:t>
            </w:r>
          </w:p>
        </w:tc>
      </w:tr>
      <w:tr w14:paraId="79F3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58DBA145">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9</w:t>
            </w:r>
          </w:p>
        </w:tc>
        <w:tc>
          <w:tcPr>
            <w:tcW w:w="1520" w:type="dxa"/>
            <w:vAlign w:val="center"/>
          </w:tcPr>
          <w:p w14:paraId="6CC66034">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赤坎镇</w:t>
            </w:r>
          </w:p>
          <w:p w14:paraId="03C7EF1B">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0085E5FE">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700" w:type="dxa"/>
            <w:vAlign w:val="center"/>
          </w:tcPr>
          <w:p w14:paraId="5F43946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4BC24D1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9</w:t>
            </w:r>
          </w:p>
        </w:tc>
        <w:tc>
          <w:tcPr>
            <w:tcW w:w="667" w:type="dxa"/>
            <w:vAlign w:val="center"/>
          </w:tcPr>
          <w:p w14:paraId="4226F95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667" w:type="dxa"/>
            <w:vAlign w:val="center"/>
          </w:tcPr>
          <w:p w14:paraId="411FD78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16" w:type="dxa"/>
            <w:vAlign w:val="center"/>
          </w:tcPr>
          <w:p w14:paraId="577ED83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14.4</w:t>
            </w:r>
          </w:p>
        </w:tc>
        <w:tc>
          <w:tcPr>
            <w:tcW w:w="650" w:type="dxa"/>
            <w:vAlign w:val="center"/>
          </w:tcPr>
          <w:p w14:paraId="41C38192">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700" w:type="dxa"/>
            <w:vAlign w:val="center"/>
          </w:tcPr>
          <w:p w14:paraId="1DE17429">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15CAD12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16.8</w:t>
            </w:r>
          </w:p>
        </w:tc>
        <w:tc>
          <w:tcPr>
            <w:tcW w:w="963" w:type="dxa"/>
            <w:vAlign w:val="center"/>
          </w:tcPr>
          <w:p w14:paraId="6F3D3961">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40.2</w:t>
            </w:r>
          </w:p>
        </w:tc>
      </w:tr>
      <w:tr w14:paraId="6C97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6A3253E9">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10</w:t>
            </w:r>
          </w:p>
        </w:tc>
        <w:tc>
          <w:tcPr>
            <w:tcW w:w="1520" w:type="dxa"/>
            <w:vAlign w:val="center"/>
          </w:tcPr>
          <w:p w14:paraId="25EFE317">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蚬冈镇</w:t>
            </w:r>
          </w:p>
          <w:p w14:paraId="3819FC41">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28A4FF81">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700" w:type="dxa"/>
            <w:vAlign w:val="center"/>
          </w:tcPr>
          <w:p w14:paraId="74EA2843">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33" w:type="dxa"/>
            <w:vAlign w:val="center"/>
          </w:tcPr>
          <w:p w14:paraId="354DE75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10.8</w:t>
            </w:r>
          </w:p>
        </w:tc>
        <w:tc>
          <w:tcPr>
            <w:tcW w:w="667" w:type="dxa"/>
            <w:vAlign w:val="center"/>
          </w:tcPr>
          <w:p w14:paraId="38DCEDC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667" w:type="dxa"/>
            <w:vAlign w:val="center"/>
          </w:tcPr>
          <w:p w14:paraId="30B201CE">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16" w:type="dxa"/>
            <w:vAlign w:val="center"/>
          </w:tcPr>
          <w:p w14:paraId="751139B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14.4</w:t>
            </w:r>
          </w:p>
        </w:tc>
        <w:tc>
          <w:tcPr>
            <w:tcW w:w="650" w:type="dxa"/>
            <w:vAlign w:val="center"/>
          </w:tcPr>
          <w:p w14:paraId="37A3308F">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700" w:type="dxa"/>
            <w:vAlign w:val="center"/>
          </w:tcPr>
          <w:p w14:paraId="5005DA6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2387BE5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16.8</w:t>
            </w:r>
          </w:p>
        </w:tc>
        <w:tc>
          <w:tcPr>
            <w:tcW w:w="963" w:type="dxa"/>
            <w:vAlign w:val="center"/>
          </w:tcPr>
          <w:p w14:paraId="2FB0ED04">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42</w:t>
            </w:r>
          </w:p>
        </w:tc>
      </w:tr>
      <w:tr w14:paraId="539F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67A4109D">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11</w:t>
            </w:r>
          </w:p>
        </w:tc>
        <w:tc>
          <w:tcPr>
            <w:tcW w:w="1520" w:type="dxa"/>
            <w:vAlign w:val="center"/>
          </w:tcPr>
          <w:p w14:paraId="335B9C63">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金鸡镇</w:t>
            </w:r>
          </w:p>
          <w:p w14:paraId="7B8D852B">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3FAFCA12">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700" w:type="dxa"/>
            <w:vAlign w:val="center"/>
          </w:tcPr>
          <w:p w14:paraId="16E73B69">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012EC822">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12</w:t>
            </w:r>
          </w:p>
        </w:tc>
        <w:tc>
          <w:tcPr>
            <w:tcW w:w="667" w:type="dxa"/>
            <w:vAlign w:val="center"/>
          </w:tcPr>
          <w:p w14:paraId="1FEE6DE9">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667" w:type="dxa"/>
            <w:vAlign w:val="center"/>
          </w:tcPr>
          <w:p w14:paraId="7873CF36">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716" w:type="dxa"/>
            <w:vAlign w:val="center"/>
          </w:tcPr>
          <w:p w14:paraId="73E1AA6B">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16.8</w:t>
            </w:r>
          </w:p>
        </w:tc>
        <w:tc>
          <w:tcPr>
            <w:tcW w:w="650" w:type="dxa"/>
            <w:vAlign w:val="center"/>
          </w:tcPr>
          <w:p w14:paraId="69D3AC2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700" w:type="dxa"/>
            <w:vAlign w:val="center"/>
          </w:tcPr>
          <w:p w14:paraId="228256D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5C969E4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16.8</w:t>
            </w:r>
          </w:p>
        </w:tc>
        <w:tc>
          <w:tcPr>
            <w:tcW w:w="963" w:type="dxa"/>
            <w:vAlign w:val="center"/>
          </w:tcPr>
          <w:p w14:paraId="191AD3E4">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45.6</w:t>
            </w:r>
          </w:p>
        </w:tc>
      </w:tr>
      <w:tr w14:paraId="1C35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FBAD121">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12</w:t>
            </w:r>
          </w:p>
        </w:tc>
        <w:tc>
          <w:tcPr>
            <w:tcW w:w="1520" w:type="dxa"/>
            <w:vAlign w:val="center"/>
          </w:tcPr>
          <w:p w14:paraId="35E1D053">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赤水镇</w:t>
            </w:r>
          </w:p>
          <w:p w14:paraId="65725A3A">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4129FA21">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700" w:type="dxa"/>
            <w:vAlign w:val="center"/>
          </w:tcPr>
          <w:p w14:paraId="3EB4DD6B">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34D53CD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9</w:t>
            </w:r>
          </w:p>
        </w:tc>
        <w:tc>
          <w:tcPr>
            <w:tcW w:w="667" w:type="dxa"/>
            <w:vAlign w:val="center"/>
          </w:tcPr>
          <w:p w14:paraId="3E3B8413">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667" w:type="dxa"/>
            <w:vAlign w:val="center"/>
          </w:tcPr>
          <w:p w14:paraId="60316752">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16" w:type="dxa"/>
            <w:vAlign w:val="center"/>
          </w:tcPr>
          <w:p w14:paraId="241A00F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10.8</w:t>
            </w:r>
          </w:p>
        </w:tc>
        <w:tc>
          <w:tcPr>
            <w:tcW w:w="650" w:type="dxa"/>
            <w:vAlign w:val="center"/>
          </w:tcPr>
          <w:p w14:paraId="5571217E">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700" w:type="dxa"/>
            <w:vAlign w:val="center"/>
          </w:tcPr>
          <w:p w14:paraId="3536EA8E">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4A74C0D2">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12.6</w:t>
            </w:r>
          </w:p>
        </w:tc>
        <w:tc>
          <w:tcPr>
            <w:tcW w:w="963" w:type="dxa"/>
            <w:vAlign w:val="center"/>
          </w:tcPr>
          <w:p w14:paraId="41A364B7">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32.4</w:t>
            </w:r>
          </w:p>
        </w:tc>
      </w:tr>
      <w:tr w14:paraId="0A06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5EB7747F">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13</w:t>
            </w:r>
          </w:p>
        </w:tc>
        <w:tc>
          <w:tcPr>
            <w:tcW w:w="1520" w:type="dxa"/>
            <w:vAlign w:val="center"/>
          </w:tcPr>
          <w:p w14:paraId="0BACE51D">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月山镇</w:t>
            </w:r>
          </w:p>
          <w:p w14:paraId="04D97209">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社区康园中心</w:t>
            </w:r>
          </w:p>
        </w:tc>
        <w:tc>
          <w:tcPr>
            <w:tcW w:w="700" w:type="dxa"/>
            <w:vAlign w:val="center"/>
          </w:tcPr>
          <w:p w14:paraId="7B6F7E5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700" w:type="dxa"/>
            <w:vAlign w:val="center"/>
          </w:tcPr>
          <w:p w14:paraId="29A70D03">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505AD13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12</w:t>
            </w:r>
          </w:p>
        </w:tc>
        <w:tc>
          <w:tcPr>
            <w:tcW w:w="667" w:type="dxa"/>
            <w:vAlign w:val="center"/>
          </w:tcPr>
          <w:p w14:paraId="30007E2B">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20</w:t>
            </w:r>
          </w:p>
        </w:tc>
        <w:tc>
          <w:tcPr>
            <w:tcW w:w="667" w:type="dxa"/>
            <w:vAlign w:val="center"/>
          </w:tcPr>
          <w:p w14:paraId="60EEB621">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716" w:type="dxa"/>
            <w:vAlign w:val="center"/>
          </w:tcPr>
          <w:p w14:paraId="1957FFC4">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16.8</w:t>
            </w:r>
          </w:p>
        </w:tc>
        <w:tc>
          <w:tcPr>
            <w:tcW w:w="650" w:type="dxa"/>
            <w:vAlign w:val="center"/>
          </w:tcPr>
          <w:p w14:paraId="4ABDAFAB">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25</w:t>
            </w:r>
          </w:p>
        </w:tc>
        <w:tc>
          <w:tcPr>
            <w:tcW w:w="700" w:type="dxa"/>
            <w:vAlign w:val="center"/>
          </w:tcPr>
          <w:p w14:paraId="3BD585BD">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3A21392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21</w:t>
            </w:r>
          </w:p>
        </w:tc>
        <w:tc>
          <w:tcPr>
            <w:tcW w:w="963" w:type="dxa"/>
            <w:vAlign w:val="center"/>
          </w:tcPr>
          <w:p w14:paraId="5441B54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49.8</w:t>
            </w:r>
          </w:p>
        </w:tc>
      </w:tr>
      <w:tr w14:paraId="18DC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77105E64">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14</w:t>
            </w:r>
          </w:p>
        </w:tc>
        <w:tc>
          <w:tcPr>
            <w:tcW w:w="1520" w:type="dxa"/>
            <w:vAlign w:val="center"/>
          </w:tcPr>
          <w:p w14:paraId="1D01DF30">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苍城镇</w:t>
            </w:r>
          </w:p>
          <w:p w14:paraId="740D8F15">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社区康园中心</w:t>
            </w:r>
          </w:p>
        </w:tc>
        <w:tc>
          <w:tcPr>
            <w:tcW w:w="700" w:type="dxa"/>
            <w:vAlign w:val="center"/>
          </w:tcPr>
          <w:p w14:paraId="6DCD68B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25</w:t>
            </w:r>
          </w:p>
        </w:tc>
        <w:tc>
          <w:tcPr>
            <w:tcW w:w="700" w:type="dxa"/>
            <w:vAlign w:val="center"/>
          </w:tcPr>
          <w:p w14:paraId="13BB784F">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733" w:type="dxa"/>
            <w:vAlign w:val="center"/>
          </w:tcPr>
          <w:p w14:paraId="0519D989">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21</w:t>
            </w:r>
          </w:p>
        </w:tc>
        <w:tc>
          <w:tcPr>
            <w:tcW w:w="667" w:type="dxa"/>
            <w:vAlign w:val="center"/>
          </w:tcPr>
          <w:p w14:paraId="45309BCC">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25</w:t>
            </w:r>
          </w:p>
        </w:tc>
        <w:tc>
          <w:tcPr>
            <w:tcW w:w="667" w:type="dxa"/>
            <w:vAlign w:val="center"/>
          </w:tcPr>
          <w:p w14:paraId="59625DC2">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716" w:type="dxa"/>
            <w:vAlign w:val="center"/>
          </w:tcPr>
          <w:p w14:paraId="02A51EC6">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21</w:t>
            </w:r>
          </w:p>
        </w:tc>
        <w:tc>
          <w:tcPr>
            <w:tcW w:w="650" w:type="dxa"/>
            <w:vAlign w:val="center"/>
          </w:tcPr>
          <w:p w14:paraId="23093B95">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30</w:t>
            </w:r>
          </w:p>
        </w:tc>
        <w:tc>
          <w:tcPr>
            <w:tcW w:w="700" w:type="dxa"/>
            <w:vAlign w:val="center"/>
          </w:tcPr>
          <w:p w14:paraId="7C2892E5">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59F9CBD0">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25.2</w:t>
            </w:r>
          </w:p>
        </w:tc>
        <w:tc>
          <w:tcPr>
            <w:tcW w:w="963" w:type="dxa"/>
            <w:vAlign w:val="center"/>
          </w:tcPr>
          <w:p w14:paraId="777B9195">
            <w:pPr>
              <w:widowControl/>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67.2</w:t>
            </w:r>
          </w:p>
        </w:tc>
      </w:tr>
      <w:tr w14:paraId="469F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5A70EC7C">
            <w:pPr>
              <w:spacing w:line="480" w:lineRule="exact"/>
              <w:jc w:val="center"/>
              <w:rPr>
                <w:rFonts w:ascii="宋体" w:hAnsi="宋体" w:cs="宋体"/>
                <w:color w:val="auto"/>
                <w:kern w:val="2"/>
                <w:szCs w:val="21"/>
                <w:highlight w:val="none"/>
              </w:rPr>
            </w:pPr>
            <w:r>
              <w:rPr>
                <w:rFonts w:hint="eastAsia" w:ascii="宋体" w:hAnsi="宋体" w:cs="宋体"/>
                <w:color w:val="auto"/>
                <w:szCs w:val="21"/>
                <w:highlight w:val="none"/>
              </w:rPr>
              <w:t>15</w:t>
            </w:r>
          </w:p>
        </w:tc>
        <w:tc>
          <w:tcPr>
            <w:tcW w:w="1520" w:type="dxa"/>
            <w:vAlign w:val="center"/>
          </w:tcPr>
          <w:p w14:paraId="3F469D66">
            <w:pPr>
              <w:adjustRightInd/>
              <w:spacing w:line="30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百合镇社区康园中心</w:t>
            </w:r>
          </w:p>
        </w:tc>
        <w:tc>
          <w:tcPr>
            <w:tcW w:w="700" w:type="dxa"/>
            <w:vAlign w:val="center"/>
          </w:tcPr>
          <w:p w14:paraId="669C211B">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700" w:type="dxa"/>
            <w:vAlign w:val="center"/>
          </w:tcPr>
          <w:p w14:paraId="171973A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一星</w:t>
            </w:r>
          </w:p>
        </w:tc>
        <w:tc>
          <w:tcPr>
            <w:tcW w:w="733" w:type="dxa"/>
            <w:vAlign w:val="center"/>
          </w:tcPr>
          <w:p w14:paraId="268A8FB3">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9</w:t>
            </w:r>
          </w:p>
        </w:tc>
        <w:tc>
          <w:tcPr>
            <w:tcW w:w="667" w:type="dxa"/>
            <w:vAlign w:val="center"/>
          </w:tcPr>
          <w:p w14:paraId="78F9A82D">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667" w:type="dxa"/>
            <w:vAlign w:val="center"/>
          </w:tcPr>
          <w:p w14:paraId="4F7FDE61">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二星</w:t>
            </w:r>
          </w:p>
        </w:tc>
        <w:tc>
          <w:tcPr>
            <w:tcW w:w="716" w:type="dxa"/>
            <w:vAlign w:val="center"/>
          </w:tcPr>
          <w:p w14:paraId="3CAD31F1">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10.8</w:t>
            </w:r>
          </w:p>
        </w:tc>
        <w:tc>
          <w:tcPr>
            <w:tcW w:w="650" w:type="dxa"/>
            <w:vAlign w:val="center"/>
          </w:tcPr>
          <w:p w14:paraId="7DB4653D">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700" w:type="dxa"/>
            <w:vAlign w:val="center"/>
          </w:tcPr>
          <w:p w14:paraId="4EEF5DBA">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szCs w:val="21"/>
                <w:highlight w:val="none"/>
              </w:rPr>
              <w:t>三星</w:t>
            </w:r>
          </w:p>
        </w:tc>
        <w:tc>
          <w:tcPr>
            <w:tcW w:w="684" w:type="dxa"/>
            <w:vAlign w:val="center"/>
          </w:tcPr>
          <w:p w14:paraId="6DF94127">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12.6</w:t>
            </w:r>
          </w:p>
        </w:tc>
        <w:tc>
          <w:tcPr>
            <w:tcW w:w="963" w:type="dxa"/>
            <w:vAlign w:val="center"/>
          </w:tcPr>
          <w:p w14:paraId="7A482E5B">
            <w:pPr>
              <w:widowControl/>
              <w:spacing w:line="480" w:lineRule="exact"/>
              <w:jc w:val="center"/>
              <w:textAlignment w:val="center"/>
              <w:rPr>
                <w:rFonts w:ascii="宋体" w:hAnsi="宋体" w:cs="宋体"/>
                <w:color w:val="auto"/>
                <w:kern w:val="2"/>
                <w:szCs w:val="21"/>
                <w:highlight w:val="none"/>
              </w:rPr>
            </w:pPr>
            <w:r>
              <w:rPr>
                <w:rFonts w:hint="eastAsia" w:ascii="宋体" w:hAnsi="宋体" w:cs="宋体"/>
                <w:color w:val="auto"/>
                <w:szCs w:val="21"/>
                <w:highlight w:val="none"/>
              </w:rPr>
              <w:t>32.4</w:t>
            </w:r>
          </w:p>
        </w:tc>
      </w:tr>
      <w:tr w14:paraId="5CAE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72756D28">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520" w:type="dxa"/>
            <w:vAlign w:val="center"/>
          </w:tcPr>
          <w:p w14:paraId="5B8490CB">
            <w:pPr>
              <w:adjustRightInd/>
              <w:spacing w:line="3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小计</w:t>
            </w:r>
          </w:p>
        </w:tc>
        <w:tc>
          <w:tcPr>
            <w:tcW w:w="1400" w:type="dxa"/>
            <w:gridSpan w:val="2"/>
            <w:vAlign w:val="center"/>
          </w:tcPr>
          <w:p w14:paraId="0164D1FD">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第一年度</w:t>
            </w:r>
          </w:p>
        </w:tc>
        <w:tc>
          <w:tcPr>
            <w:tcW w:w="733" w:type="dxa"/>
            <w:vAlign w:val="center"/>
          </w:tcPr>
          <w:p w14:paraId="503F60DB">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199.2</w:t>
            </w:r>
          </w:p>
        </w:tc>
        <w:tc>
          <w:tcPr>
            <w:tcW w:w="1334" w:type="dxa"/>
            <w:gridSpan w:val="2"/>
            <w:vAlign w:val="center"/>
          </w:tcPr>
          <w:p w14:paraId="62397549">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第二年度</w:t>
            </w:r>
          </w:p>
        </w:tc>
        <w:tc>
          <w:tcPr>
            <w:tcW w:w="716" w:type="dxa"/>
            <w:vAlign w:val="center"/>
          </w:tcPr>
          <w:p w14:paraId="20D45C33">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239.4</w:t>
            </w:r>
          </w:p>
        </w:tc>
        <w:tc>
          <w:tcPr>
            <w:tcW w:w="1350" w:type="dxa"/>
            <w:gridSpan w:val="2"/>
            <w:vAlign w:val="center"/>
          </w:tcPr>
          <w:p w14:paraId="76C98AA6">
            <w:pPr>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第三年度</w:t>
            </w:r>
          </w:p>
        </w:tc>
        <w:tc>
          <w:tcPr>
            <w:tcW w:w="684" w:type="dxa"/>
            <w:vAlign w:val="center"/>
          </w:tcPr>
          <w:p w14:paraId="408990CF">
            <w:pPr>
              <w:adjustRightInd/>
              <w:spacing w:line="360" w:lineRule="exact"/>
              <w:jc w:val="center"/>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266.4</w:t>
            </w:r>
          </w:p>
        </w:tc>
        <w:tc>
          <w:tcPr>
            <w:tcW w:w="963" w:type="dxa"/>
            <w:vAlign w:val="center"/>
          </w:tcPr>
          <w:p w14:paraId="07BC27A2">
            <w:pPr>
              <w:widowControl/>
              <w:spacing w:line="4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705</w:t>
            </w:r>
          </w:p>
        </w:tc>
      </w:tr>
      <w:tr w14:paraId="6C29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02179E89">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7737" w:type="dxa"/>
            <w:gridSpan w:val="10"/>
            <w:vAlign w:val="center"/>
          </w:tcPr>
          <w:p w14:paraId="437E72B2">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63" w:type="dxa"/>
            <w:vAlign w:val="center"/>
          </w:tcPr>
          <w:p w14:paraId="1399D580">
            <w:pPr>
              <w:widowControl/>
              <w:spacing w:line="4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705</w:t>
            </w:r>
          </w:p>
        </w:tc>
      </w:tr>
    </w:tbl>
    <w:p w14:paraId="6C60827F">
      <w:pPr>
        <w:spacing w:line="48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注：上表中的第二、三年度的采购预算为初步预算，具体以相应年度的财政部门具体批复的为准。</w:t>
      </w:r>
    </w:p>
    <w:p w14:paraId="39DB0F9E">
      <w:pPr>
        <w:spacing w:line="480" w:lineRule="exact"/>
        <w:ind w:firstLine="482" w:firstLineChars="200"/>
        <w:rPr>
          <w:rFonts w:ascii="宋体" w:hAnsi="宋体" w:cs="宋体"/>
          <w:b/>
          <w:bCs/>
          <w:color w:val="auto"/>
          <w:sz w:val="24"/>
          <w:szCs w:val="24"/>
          <w:highlight w:val="none"/>
        </w:rPr>
      </w:pPr>
    </w:p>
    <w:p w14:paraId="37F5594B">
      <w:pPr>
        <w:spacing w:line="48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ascii="宋体" w:hAnsi="宋体" w:cs="宋体"/>
          <w:b/>
          <w:bCs/>
          <w:strike/>
          <w:color w:val="auto"/>
          <w:sz w:val="24"/>
          <w:szCs w:val="24"/>
          <w:highlight w:val="none"/>
        </w:rPr>
        <w:t>中标</w:t>
      </w:r>
      <w:r>
        <w:rPr>
          <w:rFonts w:hint="eastAsia" w:ascii="宋体" w:hAnsi="宋体" w:cs="宋体"/>
          <w:b/>
          <w:bCs/>
          <w:color w:val="auto"/>
          <w:sz w:val="24"/>
          <w:szCs w:val="24"/>
          <w:highlight w:val="none"/>
        </w:rPr>
        <w:t>服务机构基本要求</w:t>
      </w:r>
    </w:p>
    <w:p w14:paraId="320CCF46">
      <w:pPr>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eastAsia="zh-CN"/>
        </w:rPr>
        <w:t>中标</w:t>
      </w:r>
      <w:r>
        <w:rPr>
          <w:rFonts w:hint="eastAsia" w:ascii="宋体" w:hAnsi="宋体" w:cs="宋体"/>
          <w:bCs/>
          <w:color w:val="auto"/>
          <w:sz w:val="24"/>
          <w:szCs w:val="24"/>
          <w:highlight w:val="none"/>
        </w:rPr>
        <w:t>服务机构应为有稳定的注册社工队伍，并符合下列其中一项要求：</w:t>
      </w:r>
    </w:p>
    <w:p w14:paraId="3625E363">
      <w:pPr>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（1）国家机关、事业单位举办或其他组织利用国有资产举办的非营利性残疾人服务机构（事业单位及内设残疾人服务机构）；</w:t>
      </w:r>
    </w:p>
    <w:p w14:paraId="36B563E0">
      <w:pPr>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（2）在民政部门办理登记的民办非企业单位（社会服务机构）；</w:t>
      </w:r>
    </w:p>
    <w:p w14:paraId="5EA94556">
      <w:pPr>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（3）依据法律法规在工商行政管理部门办理登记的营利性残疾人服务机构。</w:t>
      </w:r>
    </w:p>
    <w:p w14:paraId="4A96EA09">
      <w:pPr>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2、服务机构应具备开展残疾人服务的相关经验，有足够的专业能力，制订工作计划按规范要求做好社区康园中心的运作和管理工作。</w:t>
      </w:r>
    </w:p>
    <w:p w14:paraId="384E344D">
      <w:pPr>
        <w:spacing w:line="480" w:lineRule="exact"/>
        <w:ind w:firstLine="482" w:firstLineChars="200"/>
        <w:rPr>
          <w:rFonts w:ascii="宋体" w:hAnsi="宋体" w:cs="宋体"/>
          <w:b/>
          <w:bCs/>
          <w:color w:val="auto"/>
          <w:sz w:val="24"/>
          <w:szCs w:val="24"/>
          <w:highlight w:val="none"/>
        </w:rPr>
      </w:pPr>
    </w:p>
    <w:p w14:paraId="67F5120C">
      <w:pPr>
        <w:spacing w:line="480" w:lineRule="exact"/>
        <w:ind w:firstLine="482" w:firstLineChars="200"/>
        <w:rPr>
          <w:rFonts w:ascii="宋体" w:hAnsi="宋体" w:cs="宋体"/>
          <w:b/>
          <w:bCs/>
          <w:color w:val="auto"/>
          <w:sz w:val="24"/>
          <w:szCs w:val="24"/>
          <w:highlight w:val="none"/>
        </w:rPr>
      </w:pPr>
      <w:r>
        <w:rPr>
          <w:rFonts w:hint="eastAsia" w:ascii="宋体" w:hAnsi="宋体"/>
          <w:b/>
          <w:bCs/>
          <w:color w:val="auto"/>
          <w:sz w:val="24"/>
          <w:highlight w:val="none"/>
        </w:rPr>
        <w:t>▲</w:t>
      </w:r>
      <w:r>
        <w:rPr>
          <w:rFonts w:hint="eastAsia" w:ascii="宋体" w:hAnsi="宋体" w:cs="宋体"/>
          <w:b/>
          <w:bCs/>
          <w:color w:val="auto"/>
          <w:sz w:val="24"/>
          <w:szCs w:val="24"/>
          <w:highlight w:val="none"/>
        </w:rPr>
        <w:t>四、项目服务内容要求</w:t>
      </w:r>
      <w:r>
        <w:rPr>
          <w:rFonts w:hint="eastAsia" w:ascii="宋体" w:hAnsi="宋体" w:cs="宋体"/>
          <w:b/>
          <w:snapToGrid w:val="0"/>
          <w:color w:val="auto"/>
          <w:spacing w:val="6"/>
          <w:sz w:val="24"/>
          <w:szCs w:val="24"/>
          <w:highlight w:val="none"/>
          <w:lang w:val="zh-CN"/>
        </w:rPr>
        <w:t>（</w:t>
      </w:r>
      <w:r>
        <w:rPr>
          <w:rFonts w:hint="eastAsia" w:ascii="宋体" w:hAnsi="宋体" w:cs="宋体"/>
          <w:b/>
          <w:bCs/>
          <w:color w:val="auto"/>
          <w:sz w:val="24"/>
          <w:highlight w:val="none"/>
        </w:rPr>
        <w:t>此项技术条款为</w:t>
      </w:r>
      <w:r>
        <w:rPr>
          <w:rFonts w:hint="eastAsia" w:ascii="宋体" w:hAnsi="宋体"/>
          <w:b/>
          <w:bCs/>
          <w:color w:val="auto"/>
          <w:sz w:val="24"/>
          <w:highlight w:val="none"/>
        </w:rPr>
        <w:t>带“▲”重要技术条款第1项，包括以下内容</w:t>
      </w:r>
      <w:r>
        <w:rPr>
          <w:rFonts w:hint="eastAsia" w:ascii="宋体" w:hAnsi="宋体" w:cs="宋体"/>
          <w:b/>
          <w:bCs/>
          <w:color w:val="auto"/>
          <w:sz w:val="24"/>
          <w:highlight w:val="none"/>
        </w:rPr>
        <w:t>）</w:t>
      </w:r>
    </w:p>
    <w:p w14:paraId="40CF5BD5">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（一）社区康园中心场地由采购人或属地镇（街）安排，装修及设备设施等一次性投资费用由采购人筹集和统筹</w:t>
      </w:r>
      <w:bookmarkStart w:id="0" w:name="_GoBack"/>
      <w:bookmarkEnd w:id="0"/>
      <w:r>
        <w:rPr>
          <w:rFonts w:hint="eastAsia" w:ascii="宋体" w:hAnsi="宋体" w:cs="宋体"/>
          <w:color w:val="auto"/>
          <w:sz w:val="24"/>
          <w:szCs w:val="24"/>
          <w:highlight w:val="none"/>
        </w:rPr>
        <w:t>使用。合同履行期间，采购人交付中标供应商使用的楼房，必须按社区康园中心建设的规范要求进行设置，不得用作其他用途或转租他人使用。中标供应商如对楼房进行重新装修或作出结构性改变的，必须经过采购人和属地镇（街）书面同意方可进行，以保证楼房的安全。中标供应商负有安全使用楼房的义务，定期检查维修，注意防火和用电安全，如中标供应商因使用或维护不当致使楼房倒塌、发生火灾或人畜伤亡等重大损坏的，应承担因此产生的重建、修复和赔偿等费用。</w:t>
      </w:r>
    </w:p>
    <w:p w14:paraId="3C0624DC">
      <w:pPr>
        <w:spacing w:line="480" w:lineRule="exact"/>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（二）中标供应商按照合同要求负责康园中心日常运作和管理工作，并根据康园中心学员的实际</w:t>
      </w:r>
      <w:r>
        <w:rPr>
          <w:rFonts w:hint="eastAsia" w:ascii="宋体" w:hAnsi="宋体" w:cs="宋体"/>
          <w:color w:val="auto"/>
          <w:sz w:val="24"/>
          <w:szCs w:val="24"/>
          <w:highlight w:val="none"/>
          <w:lang w:eastAsia="zh-CN"/>
        </w:rPr>
        <w:t>需求</w:t>
      </w:r>
      <w:r>
        <w:rPr>
          <w:rFonts w:hint="eastAsia" w:ascii="宋体" w:hAnsi="宋体" w:cs="宋体"/>
          <w:color w:val="auto"/>
          <w:sz w:val="24"/>
          <w:szCs w:val="24"/>
          <w:highlight w:val="none"/>
        </w:rPr>
        <w:t>情况提供相应的服务。服务内容包括（但不限于）以下内容：</w:t>
      </w:r>
    </w:p>
    <w:p w14:paraId="7B07B2F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1、日间生活照顾和护理；</w:t>
      </w:r>
    </w:p>
    <w:p w14:paraId="35AD37AA">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2、生活自理能力训练；</w:t>
      </w:r>
    </w:p>
    <w:p w14:paraId="7DCED8C5">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3、社会适应能力辅导；</w:t>
      </w:r>
    </w:p>
    <w:p w14:paraId="0C30ACAD">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4、职业康复和劳动技能培训；</w:t>
      </w:r>
    </w:p>
    <w:p w14:paraId="04E57B3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5、运动功能训练；</w:t>
      </w:r>
    </w:p>
    <w:p w14:paraId="5573D3CA">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6、开展心理咨询和心理疏导，为残疾人及亲友提供家属资源中心服务；</w:t>
      </w:r>
    </w:p>
    <w:p w14:paraId="33C938B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7、开展健身活动和康乐文体活动，推广特奥运动、特奥艺术活动；</w:t>
      </w:r>
    </w:p>
    <w:p w14:paraId="22CF3DD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8、提供书报阅读、上网服务，开展健康、科学知识宣传普及活动；</w:t>
      </w:r>
    </w:p>
    <w:p w14:paraId="053538F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9、开展扶残助残宣传教育和残疾人权益维护工作，动员社会各界力量开展关爱活动；</w:t>
      </w:r>
    </w:p>
    <w:p w14:paraId="5D47689D">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10、协助街道（乡镇）残联开展残疾人情况调查、政策宣传、通报转介和跟踪随访工作。</w:t>
      </w:r>
    </w:p>
    <w:p w14:paraId="71301FF6">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11、协助残联等有关部门组织康园中心残疾人参加文体表演和各类技能竞赛活动。</w:t>
      </w:r>
    </w:p>
    <w:p w14:paraId="21001DDB">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（三）中标供应商应登记康园中心</w:t>
      </w:r>
      <w:r>
        <w:rPr>
          <w:rFonts w:hint="eastAsia" w:ascii="宋体" w:hAnsi="宋体" w:cs="宋体"/>
          <w:color w:val="auto"/>
          <w:sz w:val="24"/>
          <w:szCs w:val="24"/>
          <w:highlight w:val="none"/>
          <w:lang w:eastAsia="zh-CN"/>
        </w:rPr>
        <w:t>学</w:t>
      </w:r>
      <w:r>
        <w:rPr>
          <w:rFonts w:hint="eastAsia" w:ascii="宋体" w:hAnsi="宋体" w:cs="宋体"/>
          <w:color w:val="auto"/>
          <w:sz w:val="24"/>
          <w:szCs w:val="24"/>
          <w:highlight w:val="none"/>
        </w:rPr>
        <w:t>员每日出勤情况、管理员工作日志，并于每月前5个工作日内向采购人提供上月的出勤情况和工疗、娱疗、文体等活动明细记录，以便采购人进行服务综合能力评估及监督，并作为运作经费支付依据。</w:t>
      </w:r>
    </w:p>
    <w:p w14:paraId="7FFAB14D">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（四）在服务过程中如发生意外事故，中标供应商应与服务对象自行协商，采购人不承担任何直接或间接的法律责任。</w:t>
      </w:r>
    </w:p>
    <w:p w14:paraId="2178ACD3">
      <w:pPr>
        <w:pStyle w:val="7"/>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（五）康园中心运营过程中发生的人员经费、服务对象的意外保险、水电费、通讯费、管理费、日常修葺费、耗品购置费等费用由中标供应商负责。</w:t>
      </w:r>
    </w:p>
    <w:p w14:paraId="7AEF4CED">
      <w:pPr>
        <w:pStyle w:val="7"/>
        <w:spacing w:line="480" w:lineRule="exact"/>
        <w:ind w:firstLine="482" w:firstLineChars="200"/>
        <w:rPr>
          <w:rFonts w:hAnsi="宋体" w:cs="宋体"/>
          <w:b/>
          <w:color w:val="auto"/>
          <w:sz w:val="24"/>
          <w:szCs w:val="24"/>
          <w:highlight w:val="none"/>
        </w:rPr>
      </w:pPr>
    </w:p>
    <w:p w14:paraId="1E84031C">
      <w:pPr>
        <w:pStyle w:val="7"/>
        <w:spacing w:line="480" w:lineRule="exact"/>
        <w:ind w:firstLine="482" w:firstLineChars="200"/>
        <w:rPr>
          <w:rFonts w:hAnsi="宋体" w:cs="宋体"/>
          <w:b/>
          <w:color w:val="auto"/>
          <w:sz w:val="24"/>
          <w:szCs w:val="24"/>
          <w:highlight w:val="none"/>
        </w:rPr>
      </w:pPr>
      <w:r>
        <w:rPr>
          <w:rFonts w:hint="eastAsia" w:hAnsi="宋体"/>
          <w:b/>
          <w:bCs/>
          <w:color w:val="auto"/>
          <w:sz w:val="24"/>
          <w:highlight w:val="none"/>
        </w:rPr>
        <w:t>▲</w:t>
      </w:r>
      <w:r>
        <w:rPr>
          <w:rFonts w:hint="eastAsia" w:hAnsi="宋体" w:cs="宋体"/>
          <w:b/>
          <w:color w:val="auto"/>
          <w:sz w:val="24"/>
          <w:szCs w:val="24"/>
          <w:highlight w:val="none"/>
        </w:rPr>
        <w:t>五、项目服务指标要求</w:t>
      </w:r>
      <w:r>
        <w:rPr>
          <w:rFonts w:hint="eastAsia" w:hAnsi="宋体" w:cs="宋体"/>
          <w:b/>
          <w:snapToGrid w:val="0"/>
          <w:color w:val="auto"/>
          <w:spacing w:val="6"/>
          <w:sz w:val="24"/>
          <w:szCs w:val="24"/>
          <w:highlight w:val="none"/>
          <w:lang w:val="zh-CN"/>
        </w:rPr>
        <w:t>（</w:t>
      </w:r>
      <w:r>
        <w:rPr>
          <w:rFonts w:hint="eastAsia" w:hAnsi="宋体" w:cs="宋体"/>
          <w:b/>
          <w:bCs/>
          <w:color w:val="auto"/>
          <w:sz w:val="24"/>
          <w:highlight w:val="none"/>
        </w:rPr>
        <w:t>此项技术条款为</w:t>
      </w:r>
      <w:r>
        <w:rPr>
          <w:rFonts w:hint="eastAsia" w:hAnsi="宋体"/>
          <w:b/>
          <w:bCs/>
          <w:color w:val="auto"/>
          <w:sz w:val="24"/>
          <w:highlight w:val="none"/>
        </w:rPr>
        <w:t>带“▲”重要技术条款第2项，包括以下内容</w:t>
      </w:r>
      <w:r>
        <w:rPr>
          <w:rFonts w:hint="eastAsia" w:hAnsi="宋体" w:cs="宋体"/>
          <w:b/>
          <w:bCs/>
          <w:color w:val="auto"/>
          <w:sz w:val="24"/>
          <w:highlight w:val="none"/>
        </w:rPr>
        <w:t>）</w:t>
      </w:r>
    </w:p>
    <w:p w14:paraId="34F264AF">
      <w:pPr>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（一）服务对象条件：</w:t>
      </w:r>
    </w:p>
    <w:p w14:paraId="2E287661">
      <w:pPr>
        <w:spacing w:line="48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具有开平市户籍，持有《中华人民共和国残疾人证》（第二代或第三代）</w:t>
      </w:r>
      <w:r>
        <w:rPr>
          <w:rFonts w:hint="eastAsia" w:ascii="宋体" w:hAnsi="宋体" w:cs="宋体"/>
          <w:bCs/>
          <w:color w:val="auto"/>
          <w:sz w:val="24"/>
          <w:szCs w:val="24"/>
          <w:highlight w:val="none"/>
          <w:lang w:eastAsia="zh-CN"/>
        </w:rPr>
        <w:t>；</w:t>
      </w:r>
    </w:p>
    <w:p w14:paraId="3DCA3478">
      <w:pPr>
        <w:spacing w:line="480" w:lineRule="exact"/>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处于就业年龄段的智力、精神、重度肢体残疾人及其他有需求的残疾人；</w:t>
      </w:r>
    </w:p>
    <w:p w14:paraId="049BC837">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身体及精神状况稳定，无需卧床，无传染及其他严重疾病，对自己或他人无攻击行为或伤害行为，无酗酒、吸毒等不良行为。</w:t>
      </w:r>
    </w:p>
    <w:p w14:paraId="17D242FA">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精神残疾人需经专业医疗机构精神科医生进行危险性评估，认为属稳定期病患者适宜转介托养。</w:t>
      </w:r>
    </w:p>
    <w:p w14:paraId="5F427021">
      <w:pPr>
        <w:spacing w:line="480" w:lineRule="exact"/>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通过《服务对象评估表》测评</w:t>
      </w:r>
      <w:r>
        <w:rPr>
          <w:rFonts w:hint="eastAsia" w:ascii="宋体" w:hAnsi="宋体" w:cs="宋体"/>
          <w:color w:val="auto"/>
          <w:sz w:val="24"/>
          <w:szCs w:val="24"/>
          <w:highlight w:val="none"/>
          <w:lang w:eastAsia="zh-CN"/>
        </w:rPr>
        <w:t>，并</w:t>
      </w:r>
      <w:r>
        <w:rPr>
          <w:rFonts w:hint="eastAsia" w:ascii="宋体" w:hAnsi="宋体" w:cs="宋体"/>
          <w:color w:val="auto"/>
          <w:sz w:val="24"/>
          <w:szCs w:val="24"/>
          <w:highlight w:val="none"/>
        </w:rPr>
        <w:t>经采购人审核确定。</w:t>
      </w:r>
    </w:p>
    <w:p w14:paraId="01C804B7">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（二）服务人数：按一星级到五星级康园中心的不同标准，</w:t>
      </w:r>
      <w:r>
        <w:rPr>
          <w:rFonts w:hint="eastAsia" w:ascii="宋体" w:hAnsi="宋体" w:cs="宋体"/>
          <w:color w:val="auto"/>
          <w:sz w:val="24"/>
          <w:szCs w:val="24"/>
          <w:highlight w:val="none"/>
          <w:lang w:eastAsia="zh-CN"/>
        </w:rPr>
        <w:t>办理入园登记</w:t>
      </w:r>
      <w:r>
        <w:rPr>
          <w:rFonts w:hint="eastAsia" w:ascii="宋体" w:hAnsi="宋体" w:cs="宋体"/>
          <w:color w:val="auto"/>
          <w:sz w:val="24"/>
          <w:szCs w:val="24"/>
          <w:highlight w:val="none"/>
        </w:rPr>
        <w:t>学员</w:t>
      </w:r>
      <w:r>
        <w:rPr>
          <w:rFonts w:hint="eastAsia" w:ascii="宋体" w:hAnsi="宋体" w:cs="宋体"/>
          <w:color w:val="auto"/>
          <w:sz w:val="24"/>
          <w:szCs w:val="24"/>
          <w:highlight w:val="none"/>
          <w:lang w:eastAsia="zh-CN"/>
        </w:rPr>
        <w:t>（服务对象）</w:t>
      </w:r>
      <w:r>
        <w:rPr>
          <w:rFonts w:hint="eastAsia" w:ascii="宋体" w:hAnsi="宋体" w:cs="宋体"/>
          <w:color w:val="auto"/>
          <w:sz w:val="24"/>
          <w:szCs w:val="24"/>
          <w:highlight w:val="none"/>
        </w:rPr>
        <w:t>人数要求分别为不低于10-45人，</w:t>
      </w:r>
      <w:r>
        <w:rPr>
          <w:rFonts w:hint="eastAsia" w:ascii="宋体" w:hAnsi="宋体" w:cs="宋体"/>
          <w:color w:val="auto"/>
          <w:sz w:val="24"/>
          <w:szCs w:val="24"/>
          <w:highlight w:val="none"/>
          <w:lang w:eastAsia="zh-CN"/>
        </w:rPr>
        <w:t>服务费用按每天出勤学员人数计算</w:t>
      </w:r>
      <w:r>
        <w:rPr>
          <w:rFonts w:hint="eastAsia" w:ascii="宋体" w:hAnsi="宋体" w:cs="宋体"/>
          <w:color w:val="auto"/>
          <w:sz w:val="24"/>
          <w:szCs w:val="24"/>
          <w:highlight w:val="none"/>
        </w:rPr>
        <w:t>。</w:t>
      </w:r>
    </w:p>
    <w:p w14:paraId="4A12C077">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（三）人员配备：中标服务机构应为项目配备1名</w:t>
      </w:r>
      <w:r>
        <w:rPr>
          <w:rFonts w:hint="eastAsia" w:ascii="宋体" w:hAnsi="宋体" w:cs="宋体"/>
          <w:color w:val="auto"/>
          <w:sz w:val="24"/>
          <w:szCs w:val="24"/>
          <w:highlight w:val="none"/>
          <w:lang w:eastAsia="zh-CN"/>
        </w:rPr>
        <w:t>持证</w:t>
      </w:r>
      <w:r>
        <w:rPr>
          <w:rFonts w:hint="eastAsia" w:ascii="宋体" w:hAnsi="宋体" w:cs="宋体"/>
          <w:color w:val="auto"/>
          <w:sz w:val="24"/>
          <w:szCs w:val="24"/>
          <w:highlight w:val="none"/>
        </w:rPr>
        <w:t>社工</w:t>
      </w:r>
      <w:r>
        <w:rPr>
          <w:rFonts w:hint="eastAsia" w:ascii="宋体" w:hAnsi="宋体" w:cs="宋体"/>
          <w:color w:val="auto"/>
          <w:sz w:val="24"/>
          <w:szCs w:val="24"/>
          <w:highlight w:val="none"/>
          <w:lang w:eastAsia="zh-CN"/>
        </w:rPr>
        <w:t>（社会工作师或以上）</w:t>
      </w:r>
      <w:r>
        <w:rPr>
          <w:rFonts w:hint="eastAsia" w:ascii="宋体" w:hAnsi="宋体" w:cs="宋体"/>
          <w:color w:val="auto"/>
          <w:sz w:val="24"/>
          <w:szCs w:val="24"/>
          <w:highlight w:val="none"/>
        </w:rPr>
        <w:t>为项目负责人，</w:t>
      </w:r>
      <w:r>
        <w:rPr>
          <w:rFonts w:hint="eastAsia" w:ascii="宋体" w:hAnsi="宋体" w:cs="宋体"/>
          <w:color w:val="auto"/>
          <w:sz w:val="24"/>
          <w:szCs w:val="24"/>
          <w:highlight w:val="none"/>
          <w:lang w:eastAsia="zh-CN"/>
        </w:rPr>
        <w:t>另</w:t>
      </w:r>
      <w:r>
        <w:rPr>
          <w:rFonts w:hint="eastAsia" w:ascii="宋体" w:hAnsi="宋体" w:cs="宋体"/>
          <w:color w:val="auto"/>
          <w:sz w:val="24"/>
          <w:szCs w:val="24"/>
          <w:highlight w:val="none"/>
        </w:rPr>
        <w:t>每个社区康园中心的专职工作人员应不少于1人，</w:t>
      </w:r>
      <w:r>
        <w:rPr>
          <w:rFonts w:hint="eastAsia" w:ascii="宋体" w:hAnsi="宋体" w:cs="宋体"/>
          <w:color w:val="auto"/>
          <w:sz w:val="24"/>
          <w:szCs w:val="24"/>
          <w:highlight w:val="none"/>
          <w:lang w:eastAsia="zh-CN"/>
        </w:rPr>
        <w:t>且</w:t>
      </w:r>
      <w:r>
        <w:rPr>
          <w:rFonts w:hint="eastAsia" w:ascii="宋体" w:hAnsi="宋体" w:cs="宋体"/>
          <w:color w:val="auto"/>
          <w:sz w:val="24"/>
          <w:szCs w:val="24"/>
          <w:highlight w:val="none"/>
        </w:rPr>
        <w:t>工作人员与服务对象的比例应不低于1:10</w:t>
      </w:r>
      <w:r>
        <w:rPr>
          <w:rFonts w:hint="eastAsia" w:ascii="宋体" w:hAnsi="宋体" w:cs="宋体"/>
          <w:color w:val="auto"/>
          <w:sz w:val="24"/>
          <w:szCs w:val="24"/>
          <w:highlight w:val="none"/>
          <w:lang w:eastAsia="zh-CN"/>
        </w:rPr>
        <w:t>，其中</w:t>
      </w:r>
      <w:r>
        <w:rPr>
          <w:rFonts w:hint="eastAsia" w:ascii="宋体" w:hAnsi="宋体" w:cs="宋体"/>
          <w:color w:val="auto"/>
          <w:sz w:val="24"/>
          <w:szCs w:val="24"/>
          <w:highlight w:val="none"/>
        </w:rPr>
        <w:t>工作人员中持证</w:t>
      </w:r>
      <w:r>
        <w:rPr>
          <w:rFonts w:hint="eastAsia" w:ascii="宋体" w:hAnsi="宋体" w:cs="宋体"/>
          <w:color w:val="auto"/>
          <w:sz w:val="24"/>
          <w:szCs w:val="24"/>
          <w:highlight w:val="none"/>
          <w:lang w:eastAsia="zh-CN"/>
        </w:rPr>
        <w:t>社工（</w:t>
      </w:r>
      <w:r>
        <w:rPr>
          <w:rFonts w:hint="eastAsia" w:ascii="宋体" w:hAnsi="宋体" w:cs="宋体"/>
          <w:color w:val="auto"/>
          <w:sz w:val="24"/>
          <w:szCs w:val="24"/>
          <w:highlight w:val="none"/>
        </w:rPr>
        <w:t>助理社会工作师</w:t>
      </w:r>
      <w:r>
        <w:rPr>
          <w:rFonts w:hint="eastAsia" w:ascii="宋体" w:hAnsi="宋体" w:cs="宋体"/>
          <w:color w:val="auto"/>
          <w:sz w:val="24"/>
          <w:szCs w:val="24"/>
          <w:highlight w:val="none"/>
          <w:lang w:eastAsia="zh-CN"/>
        </w:rPr>
        <w:t>或以上）</w:t>
      </w:r>
      <w:r>
        <w:rPr>
          <w:rFonts w:hint="eastAsia" w:ascii="宋体" w:hAnsi="宋体" w:cs="宋体"/>
          <w:color w:val="auto"/>
          <w:sz w:val="24"/>
          <w:szCs w:val="24"/>
          <w:highlight w:val="none"/>
        </w:rPr>
        <w:t>根据康园</w:t>
      </w:r>
      <w:r>
        <w:rPr>
          <w:rFonts w:hint="eastAsia" w:ascii="宋体" w:hAnsi="宋体" w:cs="宋体"/>
          <w:color w:val="auto"/>
          <w:sz w:val="24"/>
          <w:szCs w:val="24"/>
          <w:highlight w:val="none"/>
          <w:lang w:eastAsia="zh-CN"/>
        </w:rPr>
        <w:t>中心</w:t>
      </w:r>
      <w:r>
        <w:rPr>
          <w:rFonts w:hint="eastAsia" w:ascii="宋体" w:hAnsi="宋体" w:cs="宋体"/>
          <w:color w:val="auto"/>
          <w:sz w:val="24"/>
          <w:szCs w:val="24"/>
          <w:highlight w:val="none"/>
        </w:rPr>
        <w:t>数量按1:3的比例配备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人员配备应符合GB/T 37516-2019第4.2.2条的要求。</w:t>
      </w:r>
      <w:r>
        <w:rPr>
          <w:rFonts w:hint="eastAsia" w:ascii="宋体" w:hAnsi="宋体" w:cs="宋体"/>
          <w:bCs/>
          <w:color w:val="auto"/>
          <w:sz w:val="24"/>
          <w:szCs w:val="24"/>
          <w:highlight w:val="none"/>
          <w:lang w:eastAsia="zh-CN"/>
        </w:rPr>
        <w:t>前述相应</w:t>
      </w:r>
      <w:r>
        <w:rPr>
          <w:rFonts w:hint="eastAsia" w:ascii="宋体" w:hAnsi="宋体" w:cs="宋体"/>
          <w:color w:val="auto"/>
          <w:sz w:val="24"/>
          <w:szCs w:val="24"/>
          <w:highlight w:val="none"/>
        </w:rPr>
        <w:t>专业人员应持有本人身份证明、健康证明，应具备相应的专业技能，应遵纪守法，恪守职业道德，定期接受培训和考核</w:t>
      </w:r>
      <w:r>
        <w:rPr>
          <w:rFonts w:hint="eastAsia" w:ascii="宋体" w:hAnsi="宋体" w:cs="宋体"/>
          <w:color w:val="auto"/>
          <w:sz w:val="24"/>
          <w:szCs w:val="24"/>
          <w:highlight w:val="none"/>
          <w:lang w:eastAsia="zh-CN"/>
        </w:rPr>
        <w:t>。</w:t>
      </w:r>
    </w:p>
    <w:p w14:paraId="0E3D4564">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（四）规范要求：依据《广东省社区康园中心服务规范》（DB44/T 2256-2020）、《关于印发&lt;广东省社区康园中心星级评定办法（试行）&gt;的通知》（粤残联〔2021〕136号）、《江门残疾人社区日间托养服务标准》、</w:t>
      </w:r>
      <w:r>
        <w:rPr>
          <w:rFonts w:hint="eastAsia" w:ascii="宋体" w:hAnsi="宋体" w:cs="宋体"/>
          <w:color w:val="auto"/>
          <w:sz w:val="24"/>
          <w:highlight w:val="none"/>
        </w:rPr>
        <w:t>《开平市社区康园中心服务考核评估办法》</w:t>
      </w:r>
      <w:r>
        <w:rPr>
          <w:rFonts w:hint="eastAsia" w:ascii="宋体" w:hAnsi="宋体" w:cs="宋体"/>
          <w:color w:val="auto"/>
          <w:sz w:val="24"/>
          <w:szCs w:val="24"/>
          <w:highlight w:val="none"/>
        </w:rPr>
        <w:t>等有关规范要求进行管理，并达到采购人对相应社区康园中心服务星级评定的要求。</w:t>
      </w:r>
    </w:p>
    <w:p w14:paraId="2CD89804">
      <w:pPr>
        <w:spacing w:line="480" w:lineRule="exact"/>
        <w:ind w:firstLine="482" w:firstLineChars="200"/>
        <w:rPr>
          <w:rFonts w:ascii="宋体" w:hAnsi="宋体" w:cs="宋体"/>
          <w:b/>
          <w:bCs/>
          <w:color w:val="auto"/>
          <w:sz w:val="24"/>
          <w:szCs w:val="24"/>
          <w:highlight w:val="none"/>
        </w:rPr>
      </w:pPr>
    </w:p>
    <w:p w14:paraId="1E27B091">
      <w:pPr>
        <w:spacing w:line="48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六、考核标准</w:t>
      </w:r>
    </w:p>
    <w:p w14:paraId="146908E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采购人根据相关规定对中标供应商进行月度和年度考核，具体如下：</w:t>
      </w:r>
    </w:p>
    <w:p w14:paraId="5367E6E8">
      <w:pPr>
        <w:spacing w:line="48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服务期内，</w:t>
      </w:r>
      <w:r>
        <w:rPr>
          <w:rFonts w:hint="eastAsia" w:ascii="宋体" w:hAnsi="宋体" w:cs="宋体"/>
          <w:color w:val="auto"/>
          <w:sz w:val="24"/>
          <w:highlight w:val="none"/>
        </w:rPr>
        <w:t>采购人依照《开平市社区康园中心服务评估评分细则》（详见附表1）的规定对中标供应商所服务的每个康园中心的工作内容及工作质量进行月度定期考核测评，并在每月10日前将中标供应商上月的考核结果以书面形式告知中标供应商。</w:t>
      </w:r>
    </w:p>
    <w:p w14:paraId="08EBDCFA">
      <w:pPr>
        <w:pStyle w:val="7"/>
        <w:spacing w:line="48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lang w:eastAsia="zh-CN"/>
        </w:rPr>
        <w:t>（二）</w:t>
      </w:r>
      <w:r>
        <w:rPr>
          <w:rFonts w:hint="eastAsia" w:hAnsi="宋体" w:cs="宋体"/>
          <w:b/>
          <w:bCs/>
          <w:color w:val="auto"/>
          <w:sz w:val="24"/>
          <w:szCs w:val="24"/>
          <w:highlight w:val="none"/>
        </w:rPr>
        <w:t>各康园中心月度考核标准：</w:t>
      </w:r>
      <w:r>
        <w:rPr>
          <w:rFonts w:hint="eastAsia" w:hAnsi="宋体" w:cs="宋体"/>
          <w:color w:val="auto"/>
          <w:sz w:val="24"/>
          <w:szCs w:val="24"/>
          <w:highlight w:val="none"/>
        </w:rPr>
        <w:t>采购人组织相关人员</w:t>
      </w:r>
      <w:r>
        <w:rPr>
          <w:rFonts w:hint="eastAsia" w:hAnsi="宋体" w:cs="宋体"/>
          <w:bCs/>
          <w:color w:val="auto"/>
          <w:sz w:val="24"/>
          <w:szCs w:val="24"/>
          <w:highlight w:val="none"/>
        </w:rPr>
        <w:t>每月</w:t>
      </w:r>
      <w:r>
        <w:rPr>
          <w:rFonts w:hint="eastAsia" w:hAnsi="宋体" w:cs="宋体"/>
          <w:bCs/>
          <w:color w:val="auto"/>
          <w:sz w:val="24"/>
          <w:szCs w:val="24"/>
          <w:highlight w:val="none"/>
          <w:lang w:eastAsia="zh-CN"/>
        </w:rPr>
        <w:t>对</w:t>
      </w:r>
      <w:r>
        <w:rPr>
          <w:rFonts w:hint="eastAsia" w:hAnsi="宋体" w:cs="宋体"/>
          <w:bCs/>
          <w:color w:val="auto"/>
          <w:sz w:val="24"/>
          <w:szCs w:val="24"/>
          <w:highlight w:val="none"/>
        </w:rPr>
        <w:t>中标供应商服务</w:t>
      </w:r>
      <w:r>
        <w:rPr>
          <w:rFonts w:hint="eastAsia" w:hAnsi="宋体" w:cs="宋体"/>
          <w:bCs/>
          <w:color w:val="auto"/>
          <w:sz w:val="24"/>
          <w:szCs w:val="24"/>
          <w:highlight w:val="none"/>
          <w:lang w:eastAsia="zh-CN"/>
        </w:rPr>
        <w:t>的康园中心分别</w:t>
      </w:r>
      <w:r>
        <w:rPr>
          <w:rFonts w:hint="eastAsia" w:hAnsi="宋体" w:cs="宋体"/>
          <w:bCs/>
          <w:color w:val="auto"/>
          <w:sz w:val="24"/>
          <w:szCs w:val="24"/>
          <w:highlight w:val="none"/>
        </w:rPr>
        <w:t>进行考核评估（以各康园中心为单位），根据考核结果</w:t>
      </w:r>
      <w:r>
        <w:rPr>
          <w:rFonts w:hint="eastAsia" w:hAnsi="宋体" w:cs="宋体"/>
          <w:bCs/>
          <w:color w:val="auto"/>
          <w:sz w:val="24"/>
          <w:szCs w:val="24"/>
          <w:highlight w:val="none"/>
          <w:lang w:eastAsia="zh-CN"/>
        </w:rPr>
        <w:t>和学员出勤人数</w:t>
      </w:r>
      <w:r>
        <w:rPr>
          <w:rFonts w:hint="eastAsia" w:hAnsi="宋体" w:cs="宋体"/>
          <w:bCs/>
          <w:color w:val="auto"/>
          <w:sz w:val="24"/>
          <w:szCs w:val="24"/>
          <w:highlight w:val="none"/>
        </w:rPr>
        <w:t>，当月</w:t>
      </w:r>
      <w:r>
        <w:rPr>
          <w:rFonts w:hint="eastAsia" w:hAnsi="宋体" w:cs="宋体"/>
          <w:bCs/>
          <w:color w:val="auto"/>
          <w:sz w:val="24"/>
          <w:szCs w:val="24"/>
          <w:highlight w:val="none"/>
          <w:lang w:eastAsia="zh-CN"/>
        </w:rPr>
        <w:t>评估</w:t>
      </w:r>
      <w:r>
        <w:rPr>
          <w:rFonts w:hint="eastAsia" w:hAnsi="宋体" w:cs="宋体"/>
          <w:bCs/>
          <w:color w:val="auto"/>
          <w:sz w:val="24"/>
          <w:szCs w:val="24"/>
          <w:highlight w:val="none"/>
        </w:rPr>
        <w:t>等级为良好或以上的全额支付相应康园中心服务费用；当月</w:t>
      </w:r>
      <w:r>
        <w:rPr>
          <w:rFonts w:hint="eastAsia" w:hAnsi="宋体" w:cs="宋体"/>
          <w:bCs/>
          <w:color w:val="auto"/>
          <w:sz w:val="24"/>
          <w:szCs w:val="24"/>
          <w:highlight w:val="none"/>
          <w:lang w:eastAsia="zh-CN"/>
        </w:rPr>
        <w:t>评估</w:t>
      </w:r>
      <w:r>
        <w:rPr>
          <w:rFonts w:hint="eastAsia" w:hAnsi="宋体" w:cs="宋体"/>
          <w:bCs/>
          <w:color w:val="auto"/>
          <w:sz w:val="24"/>
          <w:szCs w:val="24"/>
          <w:highlight w:val="none"/>
        </w:rPr>
        <w:t>等级为合格的按90%支付相应康园中心服务费用；当月</w:t>
      </w:r>
      <w:r>
        <w:rPr>
          <w:rFonts w:hint="eastAsia" w:hAnsi="宋体" w:cs="宋体"/>
          <w:bCs/>
          <w:color w:val="auto"/>
          <w:sz w:val="24"/>
          <w:szCs w:val="24"/>
          <w:highlight w:val="none"/>
          <w:lang w:eastAsia="zh-CN"/>
        </w:rPr>
        <w:t>评估</w:t>
      </w:r>
      <w:r>
        <w:rPr>
          <w:rFonts w:hint="eastAsia" w:hAnsi="宋体" w:cs="宋体"/>
          <w:bCs/>
          <w:color w:val="auto"/>
          <w:sz w:val="24"/>
          <w:szCs w:val="24"/>
          <w:highlight w:val="none"/>
        </w:rPr>
        <w:t>等级为不合格的按80%支付相应康园中心服务费用并发出整改通知，如连续2个月评分均为不合格的，从第3个月开始停止支付相应康园中心服务费用，直至整改完成，以促进中标供应商提高服务水平。</w:t>
      </w:r>
    </w:p>
    <w:p w14:paraId="4CF2890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cs="宋体"/>
          <w:b/>
          <w:bCs/>
          <w:color w:val="auto"/>
          <w:sz w:val="24"/>
          <w:szCs w:val="24"/>
          <w:highlight w:val="none"/>
        </w:rPr>
        <w:t>年度考核合格标准：</w:t>
      </w:r>
      <w:r>
        <w:rPr>
          <w:rFonts w:hint="eastAsia" w:ascii="宋体" w:hAnsi="宋体" w:cs="宋体"/>
          <w:color w:val="auto"/>
          <w:sz w:val="24"/>
          <w:szCs w:val="24"/>
          <w:highlight w:val="none"/>
        </w:rPr>
        <w:t>同一考核年度（每12个月为一个考核年度）内，</w:t>
      </w:r>
      <w:r>
        <w:rPr>
          <w:rFonts w:hint="eastAsia" w:ascii="宋体" w:hAnsi="宋体" w:cs="宋体"/>
          <w:color w:val="auto"/>
          <w:sz w:val="24"/>
          <w:szCs w:val="24"/>
          <w:highlight w:val="none"/>
          <w:lang w:eastAsia="zh-CN"/>
        </w:rPr>
        <w:t>统计中标供应商所服务的康园中心</w:t>
      </w:r>
      <w:r>
        <w:rPr>
          <w:rFonts w:hint="eastAsia" w:ascii="宋体" w:hAnsi="宋体" w:cs="宋体"/>
          <w:color w:val="auto"/>
          <w:sz w:val="24"/>
          <w:szCs w:val="24"/>
          <w:highlight w:val="none"/>
        </w:rPr>
        <w:t>月度考核</w:t>
      </w:r>
      <w:r>
        <w:rPr>
          <w:rFonts w:hint="eastAsia" w:ascii="宋体" w:hAnsi="宋体" w:cs="宋体"/>
          <w:color w:val="auto"/>
          <w:sz w:val="24"/>
          <w:szCs w:val="24"/>
          <w:highlight w:val="none"/>
          <w:lang w:eastAsia="zh-CN"/>
        </w:rPr>
        <w:t>不</w:t>
      </w:r>
      <w:r>
        <w:rPr>
          <w:rFonts w:hint="eastAsia" w:ascii="宋体" w:hAnsi="宋体" w:cs="宋体"/>
          <w:color w:val="auto"/>
          <w:sz w:val="24"/>
          <w:szCs w:val="24"/>
          <w:highlight w:val="none"/>
        </w:rPr>
        <w:t>合格</w:t>
      </w:r>
      <w:r>
        <w:rPr>
          <w:rFonts w:hint="eastAsia" w:ascii="宋体" w:hAnsi="宋体" w:cs="宋体"/>
          <w:color w:val="auto"/>
          <w:sz w:val="24"/>
          <w:szCs w:val="24"/>
          <w:highlight w:val="none"/>
          <w:lang w:eastAsia="zh-CN"/>
        </w:rPr>
        <w:t>次数少于</w:t>
      </w:r>
      <w:r>
        <w:rPr>
          <w:rFonts w:hint="eastAsia" w:ascii="宋体" w:hAnsi="宋体" w:cs="宋体"/>
          <w:color w:val="auto"/>
          <w:sz w:val="24"/>
          <w:szCs w:val="24"/>
          <w:highlight w:val="none"/>
          <w:lang w:val="en-US" w:eastAsia="zh-CN"/>
        </w:rPr>
        <w:t>5次（含5次，所服务的任一个康园中心任一个</w:t>
      </w:r>
      <w:r>
        <w:rPr>
          <w:rFonts w:hint="eastAsia" w:ascii="宋体" w:hAnsi="宋体" w:cs="宋体"/>
          <w:color w:val="auto"/>
          <w:sz w:val="24"/>
          <w:szCs w:val="24"/>
          <w:highlight w:val="none"/>
        </w:rPr>
        <w:t>月度考核</w:t>
      </w:r>
      <w:r>
        <w:rPr>
          <w:rFonts w:hint="eastAsia" w:ascii="宋体" w:hAnsi="宋体" w:cs="宋体"/>
          <w:color w:val="auto"/>
          <w:sz w:val="24"/>
          <w:szCs w:val="24"/>
          <w:highlight w:val="none"/>
          <w:lang w:val="en-US" w:eastAsia="zh-CN"/>
        </w:rPr>
        <w:t>不合格的，按1次不合格统计）且服务过程中未发生过重大失误的</w:t>
      </w:r>
      <w:r>
        <w:rPr>
          <w:rFonts w:hint="eastAsia" w:ascii="宋体" w:hAnsi="宋体" w:cs="宋体"/>
          <w:color w:val="auto"/>
          <w:sz w:val="24"/>
          <w:szCs w:val="24"/>
          <w:highlight w:val="none"/>
        </w:rPr>
        <w:t>，视为当</w:t>
      </w:r>
      <w:r>
        <w:rPr>
          <w:rFonts w:hint="eastAsia" w:ascii="宋体" w:hAnsi="宋体" w:cs="宋体"/>
          <w:color w:val="auto"/>
          <w:sz w:val="24"/>
          <w:szCs w:val="24"/>
          <w:highlight w:val="none"/>
          <w:lang w:eastAsia="zh-CN"/>
        </w:rPr>
        <w:t>考核</w:t>
      </w:r>
      <w:r>
        <w:rPr>
          <w:rFonts w:hint="eastAsia" w:ascii="宋体" w:hAnsi="宋体" w:cs="宋体"/>
          <w:color w:val="auto"/>
          <w:sz w:val="24"/>
          <w:szCs w:val="24"/>
          <w:highlight w:val="none"/>
        </w:rPr>
        <w:t>年度的考核合格，年度考核合格</w:t>
      </w:r>
      <w:r>
        <w:rPr>
          <w:rFonts w:hint="eastAsia" w:ascii="宋体" w:hAnsi="宋体" w:cs="宋体"/>
          <w:color w:val="auto"/>
          <w:sz w:val="24"/>
          <w:szCs w:val="24"/>
          <w:highlight w:val="none"/>
          <w:lang w:eastAsia="zh-CN"/>
        </w:rPr>
        <w:t>可</w:t>
      </w:r>
      <w:r>
        <w:rPr>
          <w:rFonts w:hint="eastAsia" w:ascii="宋体" w:hAnsi="宋体" w:cs="宋体"/>
          <w:color w:val="auto"/>
          <w:sz w:val="24"/>
          <w:szCs w:val="24"/>
          <w:highlight w:val="none"/>
        </w:rPr>
        <w:t>续签下一年度服务合同；考核</w:t>
      </w:r>
      <w:r>
        <w:rPr>
          <w:rFonts w:hint="eastAsia" w:ascii="宋体" w:hAnsi="宋体" w:cs="宋体"/>
          <w:color w:val="auto"/>
          <w:sz w:val="24"/>
          <w:szCs w:val="24"/>
          <w:highlight w:val="none"/>
          <w:lang w:eastAsia="zh-CN"/>
        </w:rPr>
        <w:t>不</w:t>
      </w:r>
      <w:r>
        <w:rPr>
          <w:rFonts w:hint="eastAsia" w:ascii="宋体" w:hAnsi="宋体" w:cs="宋体"/>
          <w:color w:val="auto"/>
          <w:sz w:val="24"/>
          <w:szCs w:val="24"/>
          <w:highlight w:val="none"/>
        </w:rPr>
        <w:t>合格月份</w:t>
      </w:r>
      <w:r>
        <w:rPr>
          <w:rFonts w:hint="eastAsia" w:ascii="宋体" w:hAnsi="宋体" w:cs="宋体"/>
          <w:color w:val="auto"/>
          <w:sz w:val="24"/>
          <w:szCs w:val="24"/>
          <w:highlight w:val="none"/>
          <w:lang w:eastAsia="zh-CN"/>
        </w:rPr>
        <w:t>超过</w:t>
      </w:r>
      <w:r>
        <w:rPr>
          <w:rFonts w:hint="eastAsia" w:ascii="宋体" w:hAnsi="宋体" w:cs="宋体"/>
          <w:color w:val="auto"/>
          <w:sz w:val="24"/>
          <w:szCs w:val="24"/>
          <w:highlight w:val="none"/>
          <w:lang w:val="en-US" w:eastAsia="zh-CN"/>
        </w:rPr>
        <w:t>5次或服务过程中发生重大失误的</w:t>
      </w:r>
      <w:r>
        <w:rPr>
          <w:rFonts w:hint="eastAsia" w:ascii="宋体" w:hAnsi="宋体" w:cs="宋体"/>
          <w:color w:val="auto"/>
          <w:sz w:val="24"/>
          <w:szCs w:val="24"/>
          <w:highlight w:val="none"/>
        </w:rPr>
        <w:t>，视为当</w:t>
      </w:r>
      <w:r>
        <w:rPr>
          <w:rFonts w:hint="eastAsia" w:ascii="宋体" w:hAnsi="宋体" w:cs="宋体"/>
          <w:color w:val="auto"/>
          <w:sz w:val="24"/>
          <w:szCs w:val="24"/>
          <w:highlight w:val="none"/>
          <w:lang w:eastAsia="zh-CN"/>
        </w:rPr>
        <w:t>考核</w:t>
      </w:r>
      <w:r>
        <w:rPr>
          <w:rFonts w:hint="eastAsia" w:ascii="宋体" w:hAnsi="宋体" w:cs="宋体"/>
          <w:color w:val="auto"/>
          <w:sz w:val="24"/>
          <w:szCs w:val="24"/>
          <w:highlight w:val="none"/>
        </w:rPr>
        <w:t>年度的考核</w:t>
      </w:r>
      <w:r>
        <w:rPr>
          <w:rFonts w:hint="eastAsia" w:ascii="宋体" w:hAnsi="宋体" w:cs="宋体"/>
          <w:color w:val="auto"/>
          <w:sz w:val="24"/>
          <w:szCs w:val="24"/>
          <w:highlight w:val="none"/>
          <w:lang w:eastAsia="zh-CN"/>
        </w:rPr>
        <w:t>不</w:t>
      </w:r>
      <w:r>
        <w:rPr>
          <w:rFonts w:hint="eastAsia" w:ascii="宋体" w:hAnsi="宋体" w:cs="宋体"/>
          <w:color w:val="auto"/>
          <w:sz w:val="24"/>
          <w:szCs w:val="24"/>
          <w:highlight w:val="none"/>
        </w:rPr>
        <w:t>合格，年度考核</w:t>
      </w:r>
      <w:r>
        <w:rPr>
          <w:rFonts w:hint="eastAsia" w:ascii="宋体" w:hAnsi="宋体" w:cs="宋体"/>
          <w:color w:val="auto"/>
          <w:sz w:val="24"/>
          <w:szCs w:val="24"/>
          <w:highlight w:val="none"/>
          <w:lang w:eastAsia="zh-CN"/>
        </w:rPr>
        <w:t>不</w:t>
      </w:r>
      <w:r>
        <w:rPr>
          <w:rFonts w:hint="eastAsia" w:ascii="宋体" w:hAnsi="宋体" w:cs="宋体"/>
          <w:color w:val="auto"/>
          <w:sz w:val="24"/>
          <w:szCs w:val="24"/>
          <w:highlight w:val="none"/>
        </w:rPr>
        <w:t>合格的不予续签下一年度服务合同。</w:t>
      </w:r>
    </w:p>
    <w:p w14:paraId="51DAC7D4">
      <w:pPr>
        <w:spacing w:line="480" w:lineRule="exact"/>
        <w:ind w:firstLine="480" w:firstLineChars="200"/>
        <w:rPr>
          <w:rFonts w:ascii="宋体" w:hAnsi="宋体" w:cs="宋体"/>
          <w:color w:val="auto"/>
          <w:sz w:val="24"/>
          <w:highlight w:val="none"/>
        </w:rPr>
      </w:pPr>
    </w:p>
    <w:p w14:paraId="69411D7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附表1：</w:t>
      </w:r>
    </w:p>
    <w:p w14:paraId="40BF815F">
      <w:pPr>
        <w:spacing w:line="480" w:lineRule="exact"/>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开平市社区康园中心服务评估评分细则</w:t>
      </w:r>
    </w:p>
    <w:tbl>
      <w:tblPr>
        <w:tblStyle w:val="13"/>
        <w:tblW w:w="9220" w:type="dxa"/>
        <w:tblInd w:w="93" w:type="dxa"/>
        <w:tblLayout w:type="fixed"/>
        <w:tblCellMar>
          <w:top w:w="0" w:type="dxa"/>
          <w:left w:w="108" w:type="dxa"/>
          <w:bottom w:w="0" w:type="dxa"/>
          <w:right w:w="108" w:type="dxa"/>
        </w:tblCellMar>
      </w:tblPr>
      <w:tblGrid>
        <w:gridCol w:w="727"/>
        <w:gridCol w:w="782"/>
        <w:gridCol w:w="1277"/>
        <w:gridCol w:w="3362"/>
        <w:gridCol w:w="1190"/>
        <w:gridCol w:w="1314"/>
        <w:gridCol w:w="568"/>
      </w:tblGrid>
      <w:tr w14:paraId="643DE9D1">
        <w:tblPrEx>
          <w:tblCellMar>
            <w:top w:w="0" w:type="dxa"/>
            <w:left w:w="108" w:type="dxa"/>
            <w:bottom w:w="0" w:type="dxa"/>
            <w:right w:w="108" w:type="dxa"/>
          </w:tblCellMar>
        </w:tblPrEx>
        <w:trPr>
          <w:trHeight w:val="761" w:hRule="atLeast"/>
        </w:trPr>
        <w:tc>
          <w:tcPr>
            <w:tcW w:w="9220" w:type="dxa"/>
            <w:gridSpan w:val="7"/>
            <w:tcBorders>
              <w:top w:val="nil"/>
              <w:left w:val="nil"/>
              <w:bottom w:val="nil"/>
              <w:right w:val="nil"/>
            </w:tcBorders>
            <w:shd w:val="clear" w:color="auto" w:fill="auto"/>
            <w:noWrap/>
            <w:vAlign w:val="center"/>
          </w:tcPr>
          <w:p w14:paraId="5D6B37E1">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康园中心名称：                           第    年度  评估所属月份：</w:t>
            </w:r>
          </w:p>
        </w:tc>
      </w:tr>
      <w:tr w14:paraId="5B67E794">
        <w:tblPrEx>
          <w:tblCellMar>
            <w:top w:w="0" w:type="dxa"/>
            <w:left w:w="108" w:type="dxa"/>
            <w:bottom w:w="0" w:type="dxa"/>
            <w:right w:w="108" w:type="dxa"/>
          </w:tblCellMar>
        </w:tblPrEx>
        <w:trPr>
          <w:trHeight w:val="8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B44F">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1D5E">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考核项目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5A94">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评估细则</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7BEA">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评分内容</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C0D5">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评分方法</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3219">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2DE7">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得分</w:t>
            </w:r>
          </w:p>
        </w:tc>
      </w:tr>
      <w:tr w14:paraId="6386D763">
        <w:tblPrEx>
          <w:tblCellMar>
            <w:top w:w="0" w:type="dxa"/>
            <w:left w:w="108" w:type="dxa"/>
            <w:bottom w:w="0" w:type="dxa"/>
            <w:right w:w="108" w:type="dxa"/>
          </w:tblCellMar>
        </w:tblPrEx>
        <w:trPr>
          <w:trHeight w:val="810"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5482">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2982">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机构建设（10分）</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D928C">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工作人员配备</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B907">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项目人员配备能完全符合服务协议和相关，不符合配备要求的按比例计分</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A3714">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实地查看人员资料，酌情扣分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FC91">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06E3">
            <w:pPr>
              <w:spacing w:line="440" w:lineRule="exact"/>
              <w:rPr>
                <w:rFonts w:ascii="宋体" w:hAnsi="宋体" w:cs="宋体"/>
                <w:color w:val="auto"/>
                <w:sz w:val="24"/>
                <w:szCs w:val="24"/>
                <w:highlight w:val="none"/>
              </w:rPr>
            </w:pPr>
          </w:p>
        </w:tc>
      </w:tr>
      <w:tr w14:paraId="10849E34">
        <w:tblPrEx>
          <w:tblCellMar>
            <w:top w:w="0" w:type="dxa"/>
            <w:left w:w="108" w:type="dxa"/>
            <w:bottom w:w="0" w:type="dxa"/>
            <w:right w:w="108" w:type="dxa"/>
          </w:tblCellMar>
        </w:tblPrEx>
        <w:trPr>
          <w:trHeight w:val="1249"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4853">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D8DF">
            <w:pPr>
              <w:spacing w:line="440" w:lineRule="exact"/>
              <w:jc w:val="left"/>
              <w:rPr>
                <w:rFonts w:ascii="宋体" w:hAnsi="宋体" w:cs="宋体"/>
                <w:color w:val="auto"/>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B0C65">
            <w:pPr>
              <w:spacing w:line="440" w:lineRule="exact"/>
              <w:jc w:val="center"/>
              <w:rPr>
                <w:rFonts w:ascii="宋体" w:hAnsi="宋体" w:cs="宋体"/>
                <w:color w:val="auto"/>
                <w:sz w:val="24"/>
                <w:szCs w:val="24"/>
                <w:highlight w:val="none"/>
              </w:rPr>
            </w:pP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31DC">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专职管理人员具有社会工作或社区康园中心服务等相关学习或培训经历，熟练掌握残疾人托养的基本知识和主要政策</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767B7">
            <w:pPr>
              <w:spacing w:line="440" w:lineRule="exact"/>
              <w:jc w:val="left"/>
              <w:rPr>
                <w:rFonts w:ascii="宋体" w:hAnsi="宋体" w:cs="宋体"/>
                <w:color w:val="auto"/>
                <w:sz w:val="24"/>
                <w:szCs w:val="24"/>
                <w:highlight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14F4">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E8FC">
            <w:pPr>
              <w:spacing w:line="440" w:lineRule="exact"/>
              <w:rPr>
                <w:rFonts w:ascii="宋体" w:hAnsi="宋体" w:cs="宋体"/>
                <w:color w:val="auto"/>
                <w:sz w:val="24"/>
                <w:szCs w:val="24"/>
                <w:highlight w:val="none"/>
              </w:rPr>
            </w:pPr>
          </w:p>
        </w:tc>
      </w:tr>
      <w:tr w14:paraId="7608EE76">
        <w:tblPrEx>
          <w:tblCellMar>
            <w:top w:w="0" w:type="dxa"/>
            <w:left w:w="108" w:type="dxa"/>
            <w:bottom w:w="0" w:type="dxa"/>
            <w:right w:w="108" w:type="dxa"/>
          </w:tblCellMar>
        </w:tblPrEx>
        <w:trPr>
          <w:trHeight w:val="643"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736C">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F0B8">
            <w:pPr>
              <w:spacing w:line="440" w:lineRule="exact"/>
              <w:jc w:val="left"/>
              <w:rPr>
                <w:rFonts w:ascii="宋体" w:hAnsi="宋体" w:cs="宋体"/>
                <w:color w:val="auto"/>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0B4A">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财务制度</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D3A">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完善机构的人事、行政、财务等各项规章制度并公开</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9AE8">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实地查看资料，酌情扣分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89E4">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F091">
            <w:pPr>
              <w:spacing w:line="440" w:lineRule="exact"/>
              <w:rPr>
                <w:rFonts w:ascii="宋体" w:hAnsi="宋体" w:cs="宋体"/>
                <w:color w:val="auto"/>
                <w:sz w:val="24"/>
                <w:szCs w:val="24"/>
                <w:highlight w:val="none"/>
              </w:rPr>
            </w:pPr>
          </w:p>
        </w:tc>
      </w:tr>
      <w:tr w14:paraId="03C7B354">
        <w:tblPrEx>
          <w:tblCellMar>
            <w:top w:w="0" w:type="dxa"/>
            <w:left w:w="108" w:type="dxa"/>
            <w:bottom w:w="0" w:type="dxa"/>
            <w:right w:w="108" w:type="dxa"/>
          </w:tblCellMar>
        </w:tblPrEx>
        <w:trPr>
          <w:trHeight w:val="15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5734">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3A5A">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环境建设（7分）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4D07">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室内环境</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5115">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机构现场干净卫生，无蟑螂、老鼠或其排泄物，配置杀灭蚊蝇、蟑螂、虫害的设备和药剂，周围环境无空气污染源，无异臭及刺激性气味，持室内空气的新鲜和流通。</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E8CE">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实地查看</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569E">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624C">
            <w:pPr>
              <w:spacing w:line="440" w:lineRule="exact"/>
              <w:rPr>
                <w:rFonts w:ascii="宋体" w:hAnsi="宋体" w:cs="宋体"/>
                <w:color w:val="auto"/>
                <w:sz w:val="24"/>
                <w:szCs w:val="24"/>
                <w:highlight w:val="none"/>
              </w:rPr>
            </w:pPr>
          </w:p>
        </w:tc>
      </w:tr>
      <w:tr w14:paraId="27AFBD7A">
        <w:tblPrEx>
          <w:tblCellMar>
            <w:top w:w="0" w:type="dxa"/>
            <w:left w:w="108" w:type="dxa"/>
            <w:bottom w:w="0" w:type="dxa"/>
            <w:right w:w="108" w:type="dxa"/>
          </w:tblCellMar>
        </w:tblPrEx>
        <w:trPr>
          <w:trHeight w:val="630"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E790">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20F7">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服务管理（13分）</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BA41">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安全管理</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6F94">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消防通道不能有障碍物，消防标识清晰，消防设备合适规格。</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C937">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实地查看</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410D">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3116">
            <w:pPr>
              <w:spacing w:line="440" w:lineRule="exact"/>
              <w:rPr>
                <w:rFonts w:ascii="宋体" w:hAnsi="宋体" w:cs="宋体"/>
                <w:color w:val="auto"/>
                <w:sz w:val="24"/>
                <w:szCs w:val="24"/>
                <w:highlight w:val="none"/>
              </w:rPr>
            </w:pPr>
          </w:p>
        </w:tc>
      </w:tr>
      <w:tr w14:paraId="5E079A53">
        <w:tblPrEx>
          <w:tblCellMar>
            <w:top w:w="0" w:type="dxa"/>
            <w:left w:w="108" w:type="dxa"/>
            <w:bottom w:w="0" w:type="dxa"/>
            <w:right w:w="108" w:type="dxa"/>
          </w:tblCellMar>
        </w:tblPrEx>
        <w:trPr>
          <w:trHeight w:val="1559"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F87D">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763F">
            <w:pPr>
              <w:spacing w:line="440" w:lineRule="exact"/>
              <w:jc w:val="left"/>
              <w:rPr>
                <w:rFonts w:ascii="宋体" w:hAnsi="宋体" w:cs="宋体"/>
                <w:color w:val="auto"/>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8A0F">
            <w:pPr>
              <w:spacing w:line="440" w:lineRule="exact"/>
              <w:jc w:val="center"/>
              <w:rPr>
                <w:rFonts w:ascii="宋体" w:hAnsi="宋体" w:cs="宋体"/>
                <w:color w:val="auto"/>
                <w:sz w:val="24"/>
                <w:szCs w:val="24"/>
                <w:highlight w:val="none"/>
              </w:rPr>
            </w:pP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987A">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指导服务对象普及基本的安全知识 ，例如饮食安全、用药及放置物品安全、交通安全、特殊电话号码以及求救、防火、防盗、防汛、防震、安全基本法规等内容。</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36B9">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D92A">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9FA4">
            <w:pPr>
              <w:spacing w:line="440" w:lineRule="exact"/>
              <w:rPr>
                <w:rFonts w:ascii="宋体" w:hAnsi="宋体" w:cs="宋体"/>
                <w:color w:val="auto"/>
                <w:sz w:val="24"/>
                <w:szCs w:val="24"/>
                <w:highlight w:val="none"/>
              </w:rPr>
            </w:pPr>
          </w:p>
        </w:tc>
      </w:tr>
      <w:tr w14:paraId="1E5423A0">
        <w:tblPrEx>
          <w:tblCellMar>
            <w:top w:w="0" w:type="dxa"/>
            <w:left w:w="108" w:type="dxa"/>
            <w:bottom w:w="0" w:type="dxa"/>
            <w:right w:w="108" w:type="dxa"/>
          </w:tblCellMar>
        </w:tblPrEx>
        <w:trPr>
          <w:trHeight w:val="643"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31D7">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88CE">
            <w:pPr>
              <w:spacing w:line="440" w:lineRule="exact"/>
              <w:jc w:val="left"/>
              <w:rPr>
                <w:rFonts w:ascii="宋体" w:hAnsi="宋体" w:cs="宋体"/>
                <w:color w:val="auto"/>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691C">
            <w:pPr>
              <w:spacing w:line="440" w:lineRule="exact"/>
              <w:jc w:val="center"/>
              <w:rPr>
                <w:rFonts w:ascii="宋体" w:hAnsi="宋体" w:cs="宋体"/>
                <w:color w:val="auto"/>
                <w:sz w:val="24"/>
                <w:szCs w:val="24"/>
                <w:highlight w:val="none"/>
              </w:rPr>
            </w:pP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51B5">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组织服务对象在外出活动前，与其家属或监护人沟通并征得同意。</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612B">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BE6B">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CD29">
            <w:pPr>
              <w:spacing w:line="440" w:lineRule="exact"/>
              <w:rPr>
                <w:rFonts w:ascii="宋体" w:hAnsi="宋体" w:cs="宋体"/>
                <w:color w:val="auto"/>
                <w:sz w:val="24"/>
                <w:szCs w:val="24"/>
                <w:highlight w:val="none"/>
              </w:rPr>
            </w:pPr>
          </w:p>
        </w:tc>
      </w:tr>
      <w:tr w14:paraId="7F683058">
        <w:tblPrEx>
          <w:tblCellMar>
            <w:top w:w="0" w:type="dxa"/>
            <w:left w:w="108" w:type="dxa"/>
            <w:bottom w:w="0" w:type="dxa"/>
            <w:right w:w="108" w:type="dxa"/>
          </w:tblCellMar>
        </w:tblPrEx>
        <w:trPr>
          <w:trHeight w:val="63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9D32">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435F">
            <w:pPr>
              <w:spacing w:line="440" w:lineRule="exact"/>
              <w:jc w:val="left"/>
              <w:rPr>
                <w:rFonts w:ascii="宋体" w:hAnsi="宋体" w:cs="宋体"/>
                <w:color w:val="auto"/>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01DE">
            <w:pPr>
              <w:spacing w:line="440" w:lineRule="exact"/>
              <w:jc w:val="center"/>
              <w:rPr>
                <w:rFonts w:ascii="宋体" w:hAnsi="宋体" w:cs="宋体"/>
                <w:color w:val="auto"/>
                <w:sz w:val="24"/>
                <w:szCs w:val="24"/>
                <w:highlight w:val="none"/>
              </w:rPr>
            </w:pP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2245">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建立康园安全制度，制定各种安全应急方案。</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F26E">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F7DC">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3DCB">
            <w:pPr>
              <w:spacing w:line="440" w:lineRule="exact"/>
              <w:rPr>
                <w:rFonts w:ascii="宋体" w:hAnsi="宋体" w:cs="宋体"/>
                <w:color w:val="auto"/>
                <w:sz w:val="24"/>
                <w:szCs w:val="24"/>
                <w:highlight w:val="none"/>
              </w:rPr>
            </w:pPr>
          </w:p>
        </w:tc>
      </w:tr>
      <w:tr w14:paraId="431131B6">
        <w:tblPrEx>
          <w:tblCellMar>
            <w:top w:w="0" w:type="dxa"/>
            <w:left w:w="108" w:type="dxa"/>
            <w:bottom w:w="0" w:type="dxa"/>
            <w:right w:w="108" w:type="dxa"/>
          </w:tblCellMar>
        </w:tblPrEx>
        <w:trPr>
          <w:trHeight w:val="47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A273">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065A">
            <w:pPr>
              <w:spacing w:line="440" w:lineRule="exact"/>
              <w:jc w:val="left"/>
              <w:rPr>
                <w:rFonts w:ascii="宋体" w:hAnsi="宋体" w:cs="宋体"/>
                <w:color w:val="auto"/>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D967">
            <w:pPr>
              <w:spacing w:line="440" w:lineRule="exact"/>
              <w:jc w:val="center"/>
              <w:rPr>
                <w:rFonts w:ascii="宋体" w:hAnsi="宋体" w:cs="宋体"/>
                <w:color w:val="auto"/>
                <w:sz w:val="24"/>
                <w:szCs w:val="24"/>
                <w:highlight w:val="none"/>
              </w:rPr>
            </w:pP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1F55">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服务期间内无发生安全事故</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5FA5">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2465">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962B">
            <w:pPr>
              <w:spacing w:line="440" w:lineRule="exact"/>
              <w:rPr>
                <w:rFonts w:ascii="宋体" w:hAnsi="宋体" w:cs="宋体"/>
                <w:color w:val="auto"/>
                <w:sz w:val="24"/>
                <w:szCs w:val="24"/>
                <w:highlight w:val="none"/>
              </w:rPr>
            </w:pPr>
          </w:p>
        </w:tc>
      </w:tr>
      <w:tr w14:paraId="2EF05B4A">
        <w:tblPrEx>
          <w:tblCellMar>
            <w:top w:w="0" w:type="dxa"/>
            <w:left w:w="108" w:type="dxa"/>
            <w:bottom w:w="0" w:type="dxa"/>
            <w:right w:w="108" w:type="dxa"/>
          </w:tblCellMar>
        </w:tblPrEx>
        <w:trPr>
          <w:trHeight w:val="939"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6804">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529F">
            <w:pPr>
              <w:spacing w:line="440" w:lineRule="exact"/>
              <w:jc w:val="left"/>
              <w:rPr>
                <w:rFonts w:ascii="宋体" w:hAnsi="宋体" w:cs="宋体"/>
                <w:color w:val="auto"/>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0D99">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服务对象管理</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D917">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对服务对象入托、退托、面谈、适应期、服务协议书、学员档案等，建立完整的档案记录。</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FFF0">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F20A">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CDFD">
            <w:pPr>
              <w:spacing w:line="440" w:lineRule="exact"/>
              <w:rPr>
                <w:rFonts w:ascii="宋体" w:hAnsi="宋体" w:cs="宋体"/>
                <w:color w:val="auto"/>
                <w:sz w:val="24"/>
                <w:szCs w:val="24"/>
                <w:highlight w:val="none"/>
              </w:rPr>
            </w:pPr>
          </w:p>
        </w:tc>
      </w:tr>
      <w:tr w14:paraId="7294C493">
        <w:tblPrEx>
          <w:tblCellMar>
            <w:top w:w="0" w:type="dxa"/>
            <w:left w:w="108" w:type="dxa"/>
            <w:bottom w:w="0" w:type="dxa"/>
            <w:right w:w="108" w:type="dxa"/>
          </w:tblCellMar>
        </w:tblPrEx>
        <w:trPr>
          <w:trHeight w:val="2487"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96EC">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BC158">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服务项目开展（60分）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3214">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学员人数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5631">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招收学员人数（共10分）：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1.学员人数不低于对应评定星级要求得5分，每少 1人扣0.5分，且学员人数少于对应要求60%（不含60%）的不得分。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2.在册学员出勤率达到80%的得5分（计算出勤学员人数按四舍五入计算），每少1人扣0.5分。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DDE0">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查看每月月报表资料</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8BE8">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7FE5">
            <w:pPr>
              <w:spacing w:line="440" w:lineRule="exact"/>
              <w:rPr>
                <w:rFonts w:ascii="宋体" w:hAnsi="宋体" w:cs="宋体"/>
                <w:color w:val="auto"/>
                <w:sz w:val="24"/>
                <w:szCs w:val="24"/>
                <w:highlight w:val="none"/>
              </w:rPr>
            </w:pPr>
          </w:p>
        </w:tc>
      </w:tr>
      <w:tr w14:paraId="6E3577A1">
        <w:tblPrEx>
          <w:tblCellMar>
            <w:top w:w="0" w:type="dxa"/>
            <w:left w:w="108" w:type="dxa"/>
            <w:bottom w:w="0" w:type="dxa"/>
            <w:right w:w="108" w:type="dxa"/>
          </w:tblCellMar>
        </w:tblPrEx>
        <w:trPr>
          <w:trHeight w:val="63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EE9F">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7D3C">
            <w:pPr>
              <w:spacing w:line="440" w:lineRule="exact"/>
              <w:jc w:val="center"/>
              <w:rPr>
                <w:rFonts w:ascii="宋体" w:hAnsi="宋体" w:cs="宋体"/>
                <w:color w:val="auto"/>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A106">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服务评估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FD3">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对服务对象进行评估，根据服务对象的需求制定训练计划</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DD2D">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B336">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42E6">
            <w:pPr>
              <w:spacing w:line="440" w:lineRule="exact"/>
              <w:rPr>
                <w:rFonts w:ascii="宋体" w:hAnsi="宋体" w:cs="宋体"/>
                <w:color w:val="auto"/>
                <w:sz w:val="24"/>
                <w:szCs w:val="24"/>
                <w:highlight w:val="none"/>
              </w:rPr>
            </w:pPr>
          </w:p>
        </w:tc>
      </w:tr>
      <w:tr w14:paraId="5072750E">
        <w:tblPrEx>
          <w:tblCellMar>
            <w:top w:w="0" w:type="dxa"/>
            <w:left w:w="108" w:type="dxa"/>
            <w:bottom w:w="0" w:type="dxa"/>
            <w:right w:w="108" w:type="dxa"/>
          </w:tblCellMar>
        </w:tblPrEx>
        <w:trPr>
          <w:trHeight w:val="643"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D0CA">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5923">
            <w:pPr>
              <w:spacing w:line="440" w:lineRule="exact"/>
              <w:jc w:val="center"/>
              <w:rPr>
                <w:rFonts w:ascii="宋体" w:hAnsi="宋体" w:cs="宋体"/>
                <w:color w:val="auto"/>
                <w:sz w:val="24"/>
                <w:szCs w:val="24"/>
                <w:highlight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36F33">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生活照料和护理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（恒常服务）</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919C">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为有需要的学员提供血压和体温的测量，及时监控学员的身体基本情况。</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AB73">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2FFA">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FEF8">
            <w:pPr>
              <w:spacing w:line="440" w:lineRule="exact"/>
              <w:rPr>
                <w:rFonts w:ascii="宋体" w:hAnsi="宋体" w:cs="宋体"/>
                <w:color w:val="auto"/>
                <w:sz w:val="24"/>
                <w:szCs w:val="24"/>
                <w:highlight w:val="none"/>
              </w:rPr>
            </w:pPr>
          </w:p>
        </w:tc>
      </w:tr>
      <w:tr w14:paraId="377007D0">
        <w:tblPrEx>
          <w:tblCellMar>
            <w:top w:w="0" w:type="dxa"/>
            <w:left w:w="108" w:type="dxa"/>
            <w:bottom w:w="0" w:type="dxa"/>
            <w:right w:w="108" w:type="dxa"/>
          </w:tblCellMar>
        </w:tblPrEx>
        <w:trPr>
          <w:trHeight w:val="63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7C07">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C5F15">
            <w:pPr>
              <w:spacing w:line="440" w:lineRule="exact"/>
              <w:jc w:val="center"/>
              <w:rPr>
                <w:rFonts w:ascii="宋体" w:hAnsi="宋体" w:cs="宋体"/>
                <w:color w:val="auto"/>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31C2">
            <w:pPr>
              <w:spacing w:line="440" w:lineRule="exact"/>
              <w:jc w:val="center"/>
              <w:rPr>
                <w:rFonts w:ascii="宋体" w:hAnsi="宋体" w:cs="宋体"/>
                <w:color w:val="auto"/>
                <w:sz w:val="24"/>
                <w:szCs w:val="24"/>
                <w:highlight w:val="none"/>
              </w:rPr>
            </w:pP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B0A4">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提供午休服务。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D4DE">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78AE">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2978">
            <w:pPr>
              <w:spacing w:line="440" w:lineRule="exact"/>
              <w:rPr>
                <w:rFonts w:ascii="宋体" w:hAnsi="宋体" w:cs="宋体"/>
                <w:color w:val="auto"/>
                <w:sz w:val="24"/>
                <w:szCs w:val="24"/>
                <w:highlight w:val="none"/>
              </w:rPr>
            </w:pPr>
          </w:p>
        </w:tc>
      </w:tr>
      <w:tr w14:paraId="2E553ED9">
        <w:tblPrEx>
          <w:tblCellMar>
            <w:top w:w="0" w:type="dxa"/>
            <w:left w:w="108" w:type="dxa"/>
            <w:bottom w:w="0" w:type="dxa"/>
            <w:right w:w="108" w:type="dxa"/>
          </w:tblCellMar>
        </w:tblPrEx>
        <w:trPr>
          <w:trHeight w:val="63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F6B1">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814EC">
            <w:pPr>
              <w:spacing w:line="440" w:lineRule="exact"/>
              <w:jc w:val="center"/>
              <w:rPr>
                <w:rFonts w:ascii="宋体" w:hAnsi="宋体" w:cs="宋体"/>
                <w:color w:val="auto"/>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7EBB4">
            <w:pPr>
              <w:spacing w:line="440" w:lineRule="exact"/>
              <w:jc w:val="center"/>
              <w:rPr>
                <w:rFonts w:ascii="宋体" w:hAnsi="宋体" w:cs="宋体"/>
                <w:color w:val="auto"/>
                <w:sz w:val="24"/>
                <w:szCs w:val="24"/>
                <w:highlight w:val="none"/>
              </w:rPr>
            </w:pP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CC96">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为有需要的学员按医嘱提供服药监督服务。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B63F">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6E0F">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25A0">
            <w:pPr>
              <w:spacing w:line="440" w:lineRule="exact"/>
              <w:rPr>
                <w:rFonts w:ascii="宋体" w:hAnsi="宋体" w:cs="宋体"/>
                <w:color w:val="auto"/>
                <w:sz w:val="24"/>
                <w:szCs w:val="24"/>
                <w:highlight w:val="none"/>
              </w:rPr>
            </w:pPr>
          </w:p>
        </w:tc>
      </w:tr>
      <w:tr w14:paraId="4F7BCA15">
        <w:tblPrEx>
          <w:tblCellMar>
            <w:top w:w="0" w:type="dxa"/>
            <w:left w:w="108" w:type="dxa"/>
            <w:bottom w:w="0" w:type="dxa"/>
            <w:right w:w="108" w:type="dxa"/>
          </w:tblCellMar>
        </w:tblPrEx>
        <w:trPr>
          <w:trHeight w:val="643"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297F">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93B6D">
            <w:pPr>
              <w:spacing w:line="440" w:lineRule="exact"/>
              <w:jc w:val="center"/>
              <w:rPr>
                <w:rFonts w:ascii="宋体" w:hAnsi="宋体" w:cs="宋体"/>
                <w:color w:val="auto"/>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4D9B">
            <w:pPr>
              <w:spacing w:line="440" w:lineRule="exact"/>
              <w:jc w:val="center"/>
              <w:rPr>
                <w:rFonts w:ascii="宋体" w:hAnsi="宋体" w:cs="宋体"/>
                <w:color w:val="auto"/>
                <w:sz w:val="24"/>
                <w:szCs w:val="24"/>
                <w:highlight w:val="none"/>
              </w:rPr>
            </w:pP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5E9D">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定期召开家长会，每周开展家园联系服务不少于1次，与家属保持良好沟通。</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4FFF">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5DB4">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BADB">
            <w:pPr>
              <w:spacing w:line="440" w:lineRule="exact"/>
              <w:rPr>
                <w:rFonts w:ascii="宋体" w:hAnsi="宋体" w:cs="宋体"/>
                <w:color w:val="auto"/>
                <w:sz w:val="24"/>
                <w:szCs w:val="24"/>
                <w:highlight w:val="none"/>
              </w:rPr>
            </w:pPr>
          </w:p>
        </w:tc>
      </w:tr>
      <w:tr w14:paraId="6C3F8EE4">
        <w:tblPrEx>
          <w:tblCellMar>
            <w:top w:w="0" w:type="dxa"/>
            <w:left w:w="108" w:type="dxa"/>
            <w:bottom w:w="0" w:type="dxa"/>
            <w:right w:w="108" w:type="dxa"/>
          </w:tblCellMar>
        </w:tblPrEx>
        <w:trPr>
          <w:trHeight w:val="939"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12DE">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9FB5E">
            <w:pPr>
              <w:spacing w:line="440" w:lineRule="exact"/>
              <w:jc w:val="center"/>
              <w:rPr>
                <w:rFonts w:ascii="宋体" w:hAnsi="宋体" w:cs="宋体"/>
                <w:color w:val="auto"/>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3BED">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生活自理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和认知能力训练</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09C3">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每周开展服务次数不少于4次。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1641">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4B2E">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4424">
            <w:pPr>
              <w:spacing w:line="440" w:lineRule="exact"/>
              <w:rPr>
                <w:rFonts w:ascii="宋体" w:hAnsi="宋体" w:cs="宋体"/>
                <w:color w:val="auto"/>
                <w:sz w:val="24"/>
                <w:szCs w:val="24"/>
                <w:highlight w:val="none"/>
              </w:rPr>
            </w:pPr>
          </w:p>
        </w:tc>
      </w:tr>
      <w:tr w14:paraId="31F0ED6E">
        <w:tblPrEx>
          <w:tblCellMar>
            <w:top w:w="0" w:type="dxa"/>
            <w:left w:w="108" w:type="dxa"/>
            <w:bottom w:w="0" w:type="dxa"/>
            <w:right w:w="108" w:type="dxa"/>
          </w:tblCellMar>
        </w:tblPrEx>
        <w:trPr>
          <w:trHeight w:val="63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E3D7">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88B1B">
            <w:pPr>
              <w:spacing w:line="440" w:lineRule="exact"/>
              <w:jc w:val="center"/>
              <w:rPr>
                <w:rFonts w:ascii="宋体" w:hAnsi="宋体" w:cs="宋体"/>
                <w:color w:val="auto"/>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F5F7">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社会适应能力训练</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EE93">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每周开展服务次数不少于2次。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F23A">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A6D5">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4AFB">
            <w:pPr>
              <w:spacing w:line="440" w:lineRule="exact"/>
              <w:rPr>
                <w:rFonts w:ascii="宋体" w:hAnsi="宋体" w:cs="宋体"/>
                <w:color w:val="auto"/>
                <w:sz w:val="24"/>
                <w:szCs w:val="24"/>
                <w:highlight w:val="none"/>
              </w:rPr>
            </w:pPr>
          </w:p>
        </w:tc>
      </w:tr>
      <w:tr w14:paraId="35BF9ECB">
        <w:tblPrEx>
          <w:tblCellMar>
            <w:top w:w="0" w:type="dxa"/>
            <w:left w:w="108" w:type="dxa"/>
            <w:bottom w:w="0" w:type="dxa"/>
            <w:right w:w="108" w:type="dxa"/>
          </w:tblCellMar>
        </w:tblPrEx>
        <w:trPr>
          <w:trHeight w:val="939"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5C2A">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80452">
            <w:pPr>
              <w:spacing w:line="440" w:lineRule="exact"/>
              <w:jc w:val="center"/>
              <w:rPr>
                <w:rFonts w:ascii="宋体" w:hAnsi="宋体" w:cs="宋体"/>
                <w:color w:val="auto"/>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9F69">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职业康复与劳动技能训练</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F1F7">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每周开展服务次数不少于4次。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CCE9">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0025">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4940">
            <w:pPr>
              <w:spacing w:line="440" w:lineRule="exact"/>
              <w:rPr>
                <w:rFonts w:ascii="宋体" w:hAnsi="宋体" w:cs="宋体"/>
                <w:color w:val="auto"/>
                <w:sz w:val="24"/>
                <w:szCs w:val="24"/>
                <w:highlight w:val="none"/>
              </w:rPr>
            </w:pPr>
          </w:p>
        </w:tc>
      </w:tr>
      <w:tr w14:paraId="33E5507E">
        <w:tblPrEx>
          <w:tblCellMar>
            <w:top w:w="0" w:type="dxa"/>
            <w:left w:w="108" w:type="dxa"/>
            <w:bottom w:w="0" w:type="dxa"/>
            <w:right w:w="108" w:type="dxa"/>
          </w:tblCellMar>
        </w:tblPrEx>
        <w:trPr>
          <w:trHeight w:val="939"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810E">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D63C5">
            <w:pPr>
              <w:spacing w:line="440" w:lineRule="exact"/>
              <w:jc w:val="center"/>
              <w:rPr>
                <w:rFonts w:ascii="宋体" w:hAnsi="宋体" w:cs="宋体"/>
                <w:color w:val="auto"/>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6B79">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文体娱乐及运动功能训练</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6813">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每周开展服务次数不少于4次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3E70">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F6BF">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47E2">
            <w:pPr>
              <w:spacing w:line="440" w:lineRule="exact"/>
              <w:rPr>
                <w:rFonts w:ascii="宋体" w:hAnsi="宋体" w:cs="宋体"/>
                <w:color w:val="auto"/>
                <w:sz w:val="24"/>
                <w:szCs w:val="24"/>
                <w:highlight w:val="none"/>
              </w:rPr>
            </w:pPr>
          </w:p>
        </w:tc>
      </w:tr>
      <w:tr w14:paraId="701E913C">
        <w:tblPrEx>
          <w:tblCellMar>
            <w:top w:w="0" w:type="dxa"/>
            <w:left w:w="108" w:type="dxa"/>
            <w:bottom w:w="0" w:type="dxa"/>
            <w:right w:w="108" w:type="dxa"/>
          </w:tblCellMar>
        </w:tblPrEx>
        <w:trPr>
          <w:trHeight w:val="939"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45AE">
            <w:pPr>
              <w:spacing w:line="440" w:lineRule="exact"/>
              <w:jc w:val="center"/>
              <w:rPr>
                <w:rFonts w:ascii="宋体" w:hAnsi="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F141">
            <w:pPr>
              <w:spacing w:line="440" w:lineRule="exact"/>
              <w:jc w:val="center"/>
              <w:rPr>
                <w:rFonts w:ascii="宋体" w:hAnsi="宋体" w:cs="宋体"/>
                <w:color w:val="auto"/>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C606">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志愿者服务</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DCBE">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定期开展“志愿在康园”活动，并有相关的文字和图片等资料记录（每季度1次，不限当月）。</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27A3">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查看资料，酌情扣分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9EEC">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40CC">
            <w:pPr>
              <w:spacing w:line="440" w:lineRule="exact"/>
              <w:rPr>
                <w:rFonts w:ascii="宋体" w:hAnsi="宋体" w:cs="宋体"/>
                <w:color w:val="auto"/>
                <w:sz w:val="24"/>
                <w:szCs w:val="24"/>
                <w:highlight w:val="none"/>
              </w:rPr>
            </w:pPr>
          </w:p>
        </w:tc>
      </w:tr>
      <w:tr w14:paraId="4304B8AF">
        <w:tblPrEx>
          <w:tblCellMar>
            <w:top w:w="0" w:type="dxa"/>
            <w:left w:w="108" w:type="dxa"/>
            <w:bottom w:w="0" w:type="dxa"/>
            <w:right w:w="108" w:type="dxa"/>
          </w:tblCellMar>
        </w:tblPrEx>
        <w:trPr>
          <w:trHeight w:val="15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A50E">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F020">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服务成效（10分）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7300">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满意度评分</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FDFA">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学员或家属满意度：</w:t>
            </w:r>
          </w:p>
          <w:p w14:paraId="2FE26905">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90-100分：10分；</w:t>
            </w:r>
          </w:p>
          <w:p w14:paraId="5FFD359D">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80-89分：8分；</w:t>
            </w:r>
          </w:p>
          <w:p w14:paraId="52F8625B">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70-79分：6分；</w:t>
            </w:r>
          </w:p>
          <w:p w14:paraId="6CF24249">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低于70分以下不得分。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B24E">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13F5">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9560">
            <w:pPr>
              <w:spacing w:line="440" w:lineRule="exact"/>
              <w:rPr>
                <w:rFonts w:ascii="宋体" w:hAnsi="宋体" w:cs="宋体"/>
                <w:color w:val="auto"/>
                <w:sz w:val="24"/>
                <w:szCs w:val="24"/>
                <w:highlight w:val="none"/>
              </w:rPr>
            </w:pPr>
          </w:p>
        </w:tc>
      </w:tr>
      <w:tr w14:paraId="4A497124">
        <w:tblPrEx>
          <w:tblCellMar>
            <w:top w:w="0" w:type="dxa"/>
            <w:left w:w="108" w:type="dxa"/>
            <w:bottom w:w="0" w:type="dxa"/>
            <w:right w:w="108" w:type="dxa"/>
          </w:tblCellMar>
        </w:tblPrEx>
        <w:trPr>
          <w:trHeight w:val="9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328C">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3B52">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加分项（5分）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BF5E">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开展特色服务</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62E6">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如园艺种植、残疾人生产创意创收产品、就业个案等，每项加1分，最高5分。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CE2D">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查看资料</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5D47">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09E0">
            <w:pPr>
              <w:spacing w:line="440" w:lineRule="exact"/>
              <w:rPr>
                <w:rFonts w:ascii="宋体" w:hAnsi="宋体" w:cs="宋体"/>
                <w:color w:val="auto"/>
                <w:sz w:val="24"/>
                <w:szCs w:val="24"/>
                <w:highlight w:val="none"/>
              </w:rPr>
            </w:pPr>
          </w:p>
        </w:tc>
      </w:tr>
      <w:tr w14:paraId="7E4DAA6D">
        <w:tblPrEx>
          <w:tblCellMar>
            <w:top w:w="0" w:type="dxa"/>
            <w:left w:w="108" w:type="dxa"/>
            <w:bottom w:w="0" w:type="dxa"/>
            <w:right w:w="108" w:type="dxa"/>
          </w:tblCellMar>
        </w:tblPrEx>
        <w:trPr>
          <w:trHeight w:val="9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1D8D">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CD8E">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评估</w:t>
            </w:r>
            <w:r>
              <w:rPr>
                <w:rFonts w:hint="eastAsia" w:ascii="宋体" w:hAnsi="宋体" w:cs="宋体"/>
                <w:color w:val="auto"/>
                <w:sz w:val="24"/>
                <w:szCs w:val="24"/>
                <w:highlight w:val="none"/>
              </w:rPr>
              <w:t>等级</w:t>
            </w:r>
          </w:p>
        </w:tc>
        <w:tc>
          <w:tcPr>
            <w:tcW w:w="4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322C1">
            <w:pPr>
              <w:widowControl/>
              <w:spacing w:line="440" w:lineRule="exact"/>
              <w:jc w:val="left"/>
              <w:textAlignment w:val="center"/>
              <w:rPr>
                <w:rFonts w:ascii="宋体" w:hAnsi="宋体" w:cs="宋体"/>
                <w:color w:val="auto"/>
                <w:sz w:val="24"/>
                <w:szCs w:val="24"/>
                <w:highlight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D8E9">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总分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01E6">
            <w:pPr>
              <w:widowControl/>
              <w:spacing w:line="440" w:lineRule="exact"/>
              <w:jc w:val="center"/>
              <w:textAlignment w:val="center"/>
              <w:rPr>
                <w:rFonts w:ascii="宋体" w:hAnsi="宋体" w:cs="宋体"/>
                <w:color w:val="auto"/>
                <w:sz w:val="24"/>
                <w:szCs w:val="24"/>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DAE2">
            <w:pPr>
              <w:spacing w:line="440" w:lineRule="exact"/>
              <w:rPr>
                <w:rFonts w:ascii="宋体" w:hAnsi="宋体" w:cs="宋体"/>
                <w:color w:val="auto"/>
                <w:sz w:val="24"/>
                <w:szCs w:val="24"/>
                <w:highlight w:val="none"/>
              </w:rPr>
            </w:pPr>
          </w:p>
        </w:tc>
      </w:tr>
      <w:tr w14:paraId="0F62EC90">
        <w:tblPrEx>
          <w:tblCellMar>
            <w:top w:w="0" w:type="dxa"/>
            <w:left w:w="108" w:type="dxa"/>
            <w:bottom w:w="0" w:type="dxa"/>
            <w:right w:w="108" w:type="dxa"/>
          </w:tblCellMar>
        </w:tblPrEx>
        <w:trPr>
          <w:trHeight w:val="5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F6F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9017">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评审人：</w:t>
            </w:r>
          </w:p>
        </w:tc>
        <w:tc>
          <w:tcPr>
            <w:tcW w:w="46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D96C">
            <w:pPr>
              <w:spacing w:line="440" w:lineRule="exact"/>
              <w:rPr>
                <w:rFonts w:ascii="宋体" w:hAnsi="宋体" w:cs="宋体"/>
                <w:color w:val="auto"/>
                <w:sz w:val="24"/>
                <w:szCs w:val="24"/>
                <w:highlight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945E">
            <w:pPr>
              <w:widowControl/>
              <w:spacing w:line="440" w:lineRule="exact"/>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评审日期：</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5C33">
            <w:pPr>
              <w:spacing w:line="440" w:lineRule="exact"/>
              <w:rPr>
                <w:rFonts w:ascii="宋体" w:hAnsi="宋体" w:cs="宋体"/>
                <w:color w:val="auto"/>
                <w:sz w:val="24"/>
                <w:szCs w:val="24"/>
                <w:highlight w:val="none"/>
              </w:rPr>
            </w:pPr>
          </w:p>
        </w:tc>
      </w:tr>
      <w:tr w14:paraId="491BD078">
        <w:tblPrEx>
          <w:tblCellMar>
            <w:top w:w="0" w:type="dxa"/>
            <w:left w:w="108" w:type="dxa"/>
            <w:bottom w:w="0" w:type="dxa"/>
            <w:right w:w="108" w:type="dxa"/>
          </w:tblCellMar>
        </w:tblPrEx>
        <w:trPr>
          <w:trHeight w:val="5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0F88">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评分说明</w:t>
            </w:r>
          </w:p>
        </w:tc>
        <w:tc>
          <w:tcPr>
            <w:tcW w:w="84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17C9">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1、受评机构提供的证据满足评定内容要求的，该项可评满分；</w:t>
            </w:r>
          </w:p>
          <w:p w14:paraId="1DF513B3">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2、受评机构提供的证据未能完全满足评定内容要求的，酌情评分</w:t>
            </w:r>
            <w:r>
              <w:rPr>
                <w:rFonts w:hint="eastAsia" w:ascii="宋体" w:hAnsi="宋体" w:cs="宋体"/>
                <w:color w:val="auto"/>
                <w:sz w:val="24"/>
                <w:szCs w:val="24"/>
                <w:highlight w:val="none"/>
              </w:rPr>
              <w:tab/>
            </w:r>
            <w:r>
              <w:rPr>
                <w:rFonts w:hint="eastAsia" w:ascii="宋体" w:hAnsi="宋体" w:cs="宋体"/>
                <w:color w:val="auto"/>
                <w:sz w:val="24"/>
                <w:szCs w:val="24"/>
                <w:highlight w:val="none"/>
              </w:rPr>
              <w:t>；</w:t>
            </w:r>
            <w:r>
              <w:rPr>
                <w:rFonts w:hint="eastAsia" w:ascii="宋体" w:hAnsi="宋体" w:cs="宋体"/>
                <w:color w:val="auto"/>
                <w:sz w:val="24"/>
                <w:szCs w:val="24"/>
                <w:highlight w:val="none"/>
              </w:rPr>
              <w:tab/>
            </w:r>
          </w:p>
          <w:p w14:paraId="60AF634F">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3、受评机构未有提供评定内容中的硬件或服务，该项不得分；</w:t>
            </w:r>
          </w:p>
          <w:p w14:paraId="179F4826">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评估</w:t>
            </w:r>
            <w:r>
              <w:rPr>
                <w:rFonts w:hint="eastAsia" w:ascii="宋体" w:hAnsi="宋体" w:cs="宋体"/>
                <w:color w:val="auto"/>
                <w:sz w:val="24"/>
                <w:szCs w:val="24"/>
                <w:highlight w:val="none"/>
              </w:rPr>
              <w:t>等级：90分及以上为优秀；80分（含）-90分（不含）的为良好；60（含）-80分（不含）为合格；60分（不含）以下的为不合格。</w:t>
            </w:r>
          </w:p>
        </w:tc>
      </w:tr>
    </w:tbl>
    <w:p w14:paraId="21A4F9F0">
      <w:pPr>
        <w:spacing w:line="480" w:lineRule="exact"/>
        <w:ind w:firstLine="482" w:firstLineChars="200"/>
        <w:rPr>
          <w:rFonts w:ascii="宋体" w:hAnsi="宋体" w:cs="宋体"/>
          <w:b/>
          <w:color w:val="auto"/>
          <w:sz w:val="24"/>
          <w:szCs w:val="24"/>
          <w:highlight w:val="none"/>
        </w:rPr>
      </w:pPr>
    </w:p>
    <w:p w14:paraId="2DA44962">
      <w:pPr>
        <w:pStyle w:val="7"/>
        <w:spacing w:line="48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七、项目响应要求：</w:t>
      </w:r>
    </w:p>
    <w:p w14:paraId="6B9F4E27">
      <w:pPr>
        <w:pStyle w:val="7"/>
        <w:spacing w:line="480" w:lineRule="exact"/>
        <w:ind w:firstLine="480" w:firstLineChars="200"/>
        <w:rPr>
          <w:rFonts w:hAnsi="宋体" w:cs="宋体"/>
          <w:color w:val="auto"/>
          <w:sz w:val="24"/>
          <w:highlight w:val="none"/>
        </w:rPr>
      </w:pPr>
      <w:r>
        <w:rPr>
          <w:rFonts w:hint="eastAsia" w:hAnsi="宋体" w:cs="宋体"/>
          <w:color w:val="auto"/>
          <w:sz w:val="24"/>
          <w:highlight w:val="none"/>
        </w:rPr>
        <w:t>1、投标人应针对本项目要求在投标文件中提供项目整体理解与分析方案，内容包括：</w:t>
      </w:r>
      <w:r>
        <w:rPr>
          <w:rFonts w:hint="eastAsia" w:hAnsi="宋体" w:cs="宋体"/>
          <w:color w:val="auto"/>
          <w:sz w:val="24"/>
          <w:szCs w:val="24"/>
          <w:highlight w:val="none"/>
        </w:rPr>
        <w:t>①对项目政策、背景的理解；②对各社区康园中心服务现状了解情况；</w:t>
      </w:r>
      <w:r>
        <w:rPr>
          <w:rFonts w:hAnsi="宋体" w:cs="宋体"/>
          <w:color w:val="auto"/>
          <w:sz w:val="24"/>
          <w:szCs w:val="24"/>
          <w:highlight w:val="none"/>
        </w:rPr>
        <w:t>③</w:t>
      </w:r>
      <w:r>
        <w:rPr>
          <w:rFonts w:hint="eastAsia" w:hAnsi="宋体" w:cs="宋体"/>
          <w:color w:val="auto"/>
          <w:sz w:val="24"/>
          <w:szCs w:val="24"/>
          <w:highlight w:val="none"/>
        </w:rPr>
        <w:t>项目采购需求分析</w:t>
      </w:r>
      <w:r>
        <w:rPr>
          <w:rFonts w:hint="eastAsia" w:hAnsi="宋体" w:cs="宋体"/>
          <w:color w:val="auto"/>
          <w:sz w:val="24"/>
          <w:highlight w:val="none"/>
        </w:rPr>
        <w:t>。</w:t>
      </w:r>
      <w:r>
        <w:rPr>
          <w:rFonts w:hint="eastAsia" w:hAnsi="宋体" w:cs="宋体"/>
          <w:color w:val="auto"/>
          <w:sz w:val="24"/>
          <w:szCs w:val="24"/>
          <w:highlight w:val="none"/>
        </w:rPr>
        <w:t>所提供的项目整体理解与分析方案应具针对性、理解深刻，了解相应社区康园中心服务的现状，采购需求分析准确透彻、条理清晰，贴合项目实际情况</w:t>
      </w:r>
      <w:r>
        <w:rPr>
          <w:rFonts w:hint="eastAsia" w:hAnsi="宋体" w:cs="宋体"/>
          <w:color w:val="auto"/>
          <w:sz w:val="24"/>
          <w:highlight w:val="none"/>
        </w:rPr>
        <w:t>。</w:t>
      </w:r>
    </w:p>
    <w:p w14:paraId="524CA3DB">
      <w:pPr>
        <w:pStyle w:val="7"/>
        <w:spacing w:line="480" w:lineRule="exact"/>
        <w:ind w:firstLine="480" w:firstLineChars="200"/>
        <w:rPr>
          <w:rFonts w:hAnsi="宋体" w:cs="宋体"/>
          <w:color w:val="auto"/>
          <w:sz w:val="24"/>
          <w:szCs w:val="24"/>
          <w:highlight w:val="none"/>
        </w:rPr>
      </w:pPr>
      <w:r>
        <w:rPr>
          <w:rFonts w:hint="eastAsia" w:hAnsi="宋体" w:cs="宋体"/>
          <w:color w:val="auto"/>
          <w:sz w:val="24"/>
          <w:highlight w:val="none"/>
        </w:rPr>
        <w:t>2、</w:t>
      </w:r>
      <w:r>
        <w:rPr>
          <w:rFonts w:hint="eastAsia" w:hAnsi="宋体" w:cs="宋体"/>
          <w:color w:val="auto"/>
          <w:sz w:val="24"/>
          <w:szCs w:val="24"/>
          <w:highlight w:val="none"/>
        </w:rPr>
        <w:t>投标人应针对本项目要求</w:t>
      </w:r>
      <w:r>
        <w:rPr>
          <w:rFonts w:hint="eastAsia" w:hAnsi="宋体" w:cs="宋体"/>
          <w:color w:val="auto"/>
          <w:sz w:val="24"/>
          <w:highlight w:val="none"/>
        </w:rPr>
        <w:t>在投标文件中</w:t>
      </w:r>
      <w:r>
        <w:rPr>
          <w:rFonts w:hint="eastAsia" w:hAnsi="宋体" w:cs="宋体"/>
          <w:color w:val="auto"/>
          <w:sz w:val="24"/>
          <w:szCs w:val="24"/>
          <w:highlight w:val="none"/>
        </w:rPr>
        <w:t>提供</w:t>
      </w:r>
      <w:r>
        <w:rPr>
          <w:rFonts w:hint="eastAsia" w:hAnsi="宋体" w:cs="宋体"/>
          <w:color w:val="auto"/>
          <w:sz w:val="24"/>
          <w:highlight w:val="none"/>
        </w:rPr>
        <w:t>总体服务方案</w:t>
      </w:r>
      <w:r>
        <w:rPr>
          <w:rFonts w:hint="eastAsia" w:hAnsi="宋体" w:cs="宋体"/>
          <w:color w:val="auto"/>
          <w:sz w:val="24"/>
          <w:szCs w:val="24"/>
          <w:highlight w:val="none"/>
        </w:rPr>
        <w:t>，内容包括：①总体服务目标；②总体工作计划；③日常运作和管理工作方案。所提供的</w:t>
      </w:r>
      <w:r>
        <w:rPr>
          <w:rFonts w:hint="eastAsia" w:hAnsi="宋体" w:cs="宋体"/>
          <w:color w:val="auto"/>
          <w:sz w:val="24"/>
          <w:highlight w:val="none"/>
        </w:rPr>
        <w:t>总体服务方案</w:t>
      </w:r>
      <w:r>
        <w:rPr>
          <w:rFonts w:hint="eastAsia" w:hAnsi="宋体" w:cs="宋体"/>
          <w:color w:val="auto"/>
          <w:sz w:val="24"/>
          <w:szCs w:val="24"/>
          <w:highlight w:val="none"/>
        </w:rPr>
        <w:t>应具针对性，目标明确可行，工作计划条理清晰，工作方案内容明确具体，可操作性</w:t>
      </w:r>
      <w:r>
        <w:rPr>
          <w:rFonts w:hint="eastAsia" w:hAnsi="宋体" w:cs="宋体"/>
          <w:color w:val="auto"/>
          <w:kern w:val="0"/>
          <w:sz w:val="24"/>
          <w:szCs w:val="24"/>
          <w:highlight w:val="none"/>
        </w:rPr>
        <w:t>，贴合项目实际情况</w:t>
      </w:r>
      <w:r>
        <w:rPr>
          <w:rFonts w:hint="eastAsia" w:hAnsi="宋体" w:cs="宋体"/>
          <w:color w:val="auto"/>
          <w:sz w:val="24"/>
          <w:szCs w:val="24"/>
          <w:highlight w:val="none"/>
        </w:rPr>
        <w:t>，有利于各社区康园中心日常运营管理。</w:t>
      </w:r>
    </w:p>
    <w:p w14:paraId="68687CA4">
      <w:pPr>
        <w:pStyle w:val="7"/>
        <w:spacing w:line="480" w:lineRule="exact"/>
        <w:ind w:firstLine="480" w:firstLineChars="200"/>
        <w:rPr>
          <w:rFonts w:hAnsi="宋体" w:cs="宋体"/>
          <w:color w:val="auto"/>
          <w:kern w:val="0"/>
          <w:sz w:val="24"/>
          <w:szCs w:val="24"/>
          <w:highlight w:val="none"/>
        </w:rPr>
      </w:pPr>
      <w:r>
        <w:rPr>
          <w:rFonts w:hint="eastAsia" w:hAnsi="宋体" w:cs="宋体"/>
          <w:color w:val="auto"/>
          <w:sz w:val="24"/>
          <w:szCs w:val="24"/>
          <w:highlight w:val="none"/>
        </w:rPr>
        <w:t>3、投标人应针</w:t>
      </w:r>
      <w:r>
        <w:rPr>
          <w:rFonts w:hint="eastAsia" w:hAnsi="宋体" w:cs="宋体"/>
          <w:color w:val="auto"/>
          <w:kern w:val="0"/>
          <w:sz w:val="24"/>
          <w:szCs w:val="24"/>
          <w:highlight w:val="none"/>
        </w:rPr>
        <w:t>对本项目</w:t>
      </w:r>
      <w:r>
        <w:rPr>
          <w:rFonts w:hint="eastAsia" w:hAnsi="宋体" w:cs="宋体"/>
          <w:color w:val="auto"/>
          <w:sz w:val="24"/>
          <w:szCs w:val="24"/>
          <w:highlight w:val="none"/>
        </w:rPr>
        <w:t>要求</w:t>
      </w:r>
      <w:r>
        <w:rPr>
          <w:rFonts w:hint="eastAsia" w:hAnsi="宋体" w:cs="宋体"/>
          <w:color w:val="auto"/>
          <w:sz w:val="24"/>
          <w:highlight w:val="none"/>
        </w:rPr>
        <w:t>在投标文件中</w:t>
      </w:r>
      <w:r>
        <w:rPr>
          <w:rFonts w:hint="eastAsia" w:hAnsi="宋体" w:cs="宋体"/>
          <w:color w:val="auto"/>
          <w:kern w:val="0"/>
          <w:sz w:val="24"/>
          <w:szCs w:val="24"/>
          <w:highlight w:val="none"/>
        </w:rPr>
        <w:t>提供</w:t>
      </w:r>
      <w:r>
        <w:rPr>
          <w:rFonts w:hint="eastAsia" w:hAnsi="宋体"/>
          <w:color w:val="auto"/>
          <w:sz w:val="24"/>
          <w:highlight w:val="none"/>
        </w:rPr>
        <w:t>服务质量保障方案</w:t>
      </w:r>
      <w:r>
        <w:rPr>
          <w:rFonts w:hint="eastAsia" w:hAnsi="宋体" w:cs="宋体"/>
          <w:color w:val="auto"/>
          <w:kern w:val="0"/>
          <w:sz w:val="24"/>
          <w:szCs w:val="24"/>
          <w:highlight w:val="none"/>
        </w:rPr>
        <w:t>，内容包括：</w:t>
      </w:r>
      <w:r>
        <w:rPr>
          <w:rFonts w:hint="eastAsia" w:hAnsi="宋体" w:cs="宋体"/>
          <w:color w:val="auto"/>
          <w:sz w:val="24"/>
          <w:szCs w:val="24"/>
          <w:highlight w:val="none"/>
        </w:rPr>
        <w:t>①</w:t>
      </w:r>
      <w:r>
        <w:rPr>
          <w:rFonts w:hint="eastAsia" w:hAnsi="宋体" w:cs="宋体"/>
          <w:color w:val="auto"/>
          <w:sz w:val="24"/>
          <w:highlight w:val="none"/>
        </w:rPr>
        <w:t>服务质量控制体系及标准；</w:t>
      </w:r>
      <w:r>
        <w:rPr>
          <w:rFonts w:hint="eastAsia" w:hAnsi="宋体" w:cs="宋体"/>
          <w:color w:val="auto"/>
          <w:sz w:val="24"/>
          <w:szCs w:val="24"/>
          <w:highlight w:val="none"/>
        </w:rPr>
        <w:t>②</w:t>
      </w:r>
      <w:r>
        <w:rPr>
          <w:rFonts w:hint="eastAsia" w:hAnsi="宋体"/>
          <w:color w:val="auto"/>
          <w:sz w:val="24"/>
          <w:szCs w:val="24"/>
          <w:highlight w:val="none"/>
        </w:rPr>
        <w:t>质量保障措施与方法</w:t>
      </w:r>
      <w:r>
        <w:rPr>
          <w:rFonts w:hint="eastAsia" w:hAnsi="宋体" w:cs="宋体"/>
          <w:color w:val="auto"/>
          <w:kern w:val="0"/>
          <w:sz w:val="24"/>
          <w:szCs w:val="24"/>
          <w:highlight w:val="none"/>
        </w:rPr>
        <w:t>。</w:t>
      </w:r>
      <w:r>
        <w:rPr>
          <w:rFonts w:hint="eastAsia" w:hAnsi="宋体" w:cs="宋体"/>
          <w:color w:val="auto"/>
          <w:sz w:val="24"/>
          <w:szCs w:val="24"/>
          <w:highlight w:val="none"/>
        </w:rPr>
        <w:t>所提供的服务质量保障方案应具针对性，</w:t>
      </w:r>
      <w:r>
        <w:rPr>
          <w:rFonts w:hint="eastAsia" w:hAnsi="宋体" w:cs="宋体"/>
          <w:color w:val="auto"/>
          <w:sz w:val="24"/>
          <w:highlight w:val="none"/>
        </w:rPr>
        <w:t>质量控制体系及标准完善可行，</w:t>
      </w:r>
      <w:r>
        <w:rPr>
          <w:rFonts w:hint="eastAsia" w:hAnsi="宋体"/>
          <w:color w:val="auto"/>
          <w:sz w:val="24"/>
          <w:szCs w:val="24"/>
          <w:highlight w:val="none"/>
        </w:rPr>
        <w:t>质量保障措施与方法</w:t>
      </w:r>
      <w:r>
        <w:rPr>
          <w:rFonts w:hint="eastAsia" w:hAnsi="宋体" w:cs="宋体"/>
          <w:color w:val="auto"/>
          <w:sz w:val="24"/>
          <w:szCs w:val="24"/>
          <w:highlight w:val="none"/>
        </w:rPr>
        <w:t>条理清晰，内容明确具体，</w:t>
      </w:r>
      <w:r>
        <w:rPr>
          <w:rFonts w:hint="eastAsia" w:hAnsi="宋体" w:cs="宋体"/>
          <w:color w:val="auto"/>
          <w:kern w:val="0"/>
          <w:sz w:val="24"/>
          <w:szCs w:val="24"/>
          <w:highlight w:val="none"/>
        </w:rPr>
        <w:t>贴合</w:t>
      </w:r>
      <w:r>
        <w:rPr>
          <w:rFonts w:hint="eastAsia" w:hAnsi="宋体" w:cs="宋体"/>
          <w:color w:val="auto"/>
          <w:sz w:val="24"/>
          <w:szCs w:val="24"/>
          <w:highlight w:val="none"/>
        </w:rPr>
        <w:t>项目实际情况，有利于保障项目服务质量</w:t>
      </w:r>
      <w:r>
        <w:rPr>
          <w:rFonts w:hint="eastAsia" w:hAnsi="宋体" w:cs="宋体"/>
          <w:color w:val="auto"/>
          <w:kern w:val="0"/>
          <w:sz w:val="24"/>
          <w:szCs w:val="24"/>
          <w:highlight w:val="none"/>
        </w:rPr>
        <w:t>。</w:t>
      </w:r>
    </w:p>
    <w:p w14:paraId="34ED37B0">
      <w:pPr>
        <w:pStyle w:val="7"/>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4、</w:t>
      </w:r>
      <w:r>
        <w:rPr>
          <w:rFonts w:hint="eastAsia" w:hAnsi="宋体" w:cs="宋体"/>
          <w:color w:val="auto"/>
          <w:sz w:val="24"/>
          <w:szCs w:val="24"/>
          <w:highlight w:val="none"/>
        </w:rPr>
        <w:t>投标人应针</w:t>
      </w:r>
      <w:r>
        <w:rPr>
          <w:rFonts w:hint="eastAsia" w:hAnsi="宋体" w:cs="宋体"/>
          <w:color w:val="auto"/>
          <w:kern w:val="0"/>
          <w:sz w:val="24"/>
          <w:szCs w:val="24"/>
          <w:highlight w:val="none"/>
        </w:rPr>
        <w:t>对本项目</w:t>
      </w:r>
      <w:r>
        <w:rPr>
          <w:rFonts w:hint="eastAsia" w:hAnsi="宋体" w:cs="宋体"/>
          <w:color w:val="auto"/>
          <w:sz w:val="24"/>
          <w:szCs w:val="24"/>
          <w:highlight w:val="none"/>
        </w:rPr>
        <w:t>要求</w:t>
      </w:r>
      <w:r>
        <w:rPr>
          <w:rFonts w:hint="eastAsia" w:hAnsi="宋体" w:cs="宋体"/>
          <w:color w:val="auto"/>
          <w:sz w:val="24"/>
          <w:highlight w:val="none"/>
        </w:rPr>
        <w:t>在投标文件中</w:t>
      </w:r>
      <w:r>
        <w:rPr>
          <w:rFonts w:hint="eastAsia" w:hAnsi="宋体" w:cs="宋体"/>
          <w:color w:val="auto"/>
          <w:kern w:val="0"/>
          <w:sz w:val="24"/>
          <w:szCs w:val="24"/>
          <w:highlight w:val="none"/>
        </w:rPr>
        <w:t>提供应急方案，内容包括：</w:t>
      </w:r>
      <w:r>
        <w:rPr>
          <w:rFonts w:hint="eastAsia" w:hAnsi="宋体" w:cs="宋体"/>
          <w:color w:val="auto"/>
          <w:sz w:val="24"/>
          <w:szCs w:val="24"/>
          <w:highlight w:val="none"/>
        </w:rPr>
        <w:t>①与项目有关的突发事件预测分析；②针对突发事件的应对措施；③应急处理流程</w:t>
      </w:r>
      <w:r>
        <w:rPr>
          <w:rFonts w:hint="eastAsia" w:hAnsi="宋体" w:cs="宋体"/>
          <w:color w:val="auto"/>
          <w:kern w:val="0"/>
          <w:sz w:val="24"/>
          <w:szCs w:val="24"/>
          <w:highlight w:val="none"/>
        </w:rPr>
        <w:t>。</w:t>
      </w:r>
      <w:r>
        <w:rPr>
          <w:rFonts w:hint="eastAsia" w:hAnsi="宋体" w:cs="宋体"/>
          <w:color w:val="auto"/>
          <w:sz w:val="24"/>
          <w:szCs w:val="24"/>
          <w:highlight w:val="none"/>
        </w:rPr>
        <w:t>所提供的应急方案应具</w:t>
      </w:r>
      <w:r>
        <w:rPr>
          <w:rFonts w:hint="eastAsia" w:hAnsi="宋体" w:cs="宋体"/>
          <w:color w:val="auto"/>
          <w:kern w:val="0"/>
          <w:sz w:val="24"/>
          <w:szCs w:val="24"/>
          <w:highlight w:val="none"/>
        </w:rPr>
        <w:t>针对性、条理清晰，内容明确具体，处理流程规范，贴合项目实际情况，有利于应对突发事件和保障项目实施。</w:t>
      </w:r>
    </w:p>
    <w:p w14:paraId="12D48D47">
      <w:pPr>
        <w:spacing w:line="480" w:lineRule="exact"/>
        <w:ind w:firstLine="482" w:firstLineChars="200"/>
        <w:rPr>
          <w:rFonts w:ascii="宋体" w:hAnsi="宋体" w:cs="宋体"/>
          <w:b/>
          <w:color w:val="auto"/>
          <w:sz w:val="24"/>
          <w:szCs w:val="24"/>
          <w:highlight w:val="none"/>
        </w:rPr>
      </w:pPr>
    </w:p>
    <w:p w14:paraId="138D7F60">
      <w:pPr>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采购包1（开平市社区康园中心运作和管理服务）：</w:t>
      </w:r>
    </w:p>
    <w:p w14:paraId="63810A01">
      <w:pPr>
        <w:spacing w:line="480" w:lineRule="exact"/>
        <w:ind w:firstLine="482" w:firstLineChars="200"/>
        <w:rPr>
          <w:rFonts w:ascii="宋体" w:hAnsi="宋体" w:cs="宋体"/>
          <w:b/>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highlight w:val="none"/>
        </w:rPr>
        <w:t>主要商务要求</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89"/>
        <w:gridCol w:w="6733"/>
      </w:tblGrid>
      <w:tr w14:paraId="563036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14:paraId="23571740">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color w:val="auto"/>
                <w:sz w:val="24"/>
                <w:highlight w:val="none"/>
              </w:rPr>
              <w:t>标的提供的时间</w:t>
            </w:r>
          </w:p>
        </w:tc>
        <w:tc>
          <w:tcPr>
            <w:tcW w:w="7336" w:type="dxa"/>
          </w:tcPr>
          <w:p w14:paraId="41909356">
            <w:pPr>
              <w:pStyle w:val="23"/>
              <w:adjustRightInd w:val="0"/>
              <w:spacing w:line="480" w:lineRule="exact"/>
              <w:ind w:firstLine="0" w:firstLineChars="0"/>
              <w:jc w:val="left"/>
              <w:rPr>
                <w:rFonts w:ascii="宋体" w:hAnsi="宋体" w:cs="宋体"/>
                <w:color w:val="auto"/>
                <w:sz w:val="24"/>
                <w:highlight w:val="none"/>
              </w:rPr>
            </w:pPr>
            <w:r>
              <w:rPr>
                <w:rFonts w:hint="eastAsia" w:ascii="宋体" w:hAnsi="宋体" w:cs="宋体"/>
                <w:color w:val="auto"/>
                <w:sz w:val="24"/>
                <w:highlight w:val="none"/>
              </w:rPr>
              <w:t>1、项目服务期为自2025年10月12日起至2028年10月11日止，共36个月（3年）。若因采购程序等不可抗力原因导致确定服务机构时间延后，服务期限相应顺延，保持36个月的服务期限不变。</w:t>
            </w:r>
          </w:p>
          <w:p w14:paraId="352C9212">
            <w:pPr>
              <w:pStyle w:val="23"/>
              <w:adjustRightInd w:val="0"/>
              <w:spacing w:line="480" w:lineRule="exact"/>
              <w:ind w:firstLine="0" w:firstLineChars="0"/>
              <w:jc w:val="left"/>
              <w:rPr>
                <w:rFonts w:ascii="宋体" w:hAnsi="宋体" w:cs="宋体"/>
                <w:color w:val="auto"/>
                <w:sz w:val="24"/>
                <w:highlight w:val="none"/>
              </w:rPr>
            </w:pPr>
            <w:r>
              <w:rPr>
                <w:rFonts w:hint="eastAsia" w:ascii="宋体" w:hAnsi="宋体" w:cs="宋体"/>
                <w:color w:val="auto"/>
                <w:sz w:val="24"/>
                <w:highlight w:val="none"/>
              </w:rPr>
              <w:t>2、项目服务期限内，每12个月为一年度，项目服务合同采用“一年度一签”方式签订。其中，采购人根据中标结果与中标供应商签订第一年度服务合同；第二、三年度服务合同按上一年度考核结果，结合当年采购预算情况，且符合续签条件的，与中标供应商续签相应年度的服务合同，续签次数不超过两次；</w:t>
            </w:r>
            <w:r>
              <w:rPr>
                <w:rFonts w:hint="eastAsia" w:hAnsi="宋体" w:cs="宋体"/>
                <w:color w:val="auto"/>
                <w:sz w:val="24"/>
                <w:highlight w:val="none"/>
              </w:rPr>
              <w:t>若</w:t>
            </w:r>
            <w:r>
              <w:rPr>
                <w:rFonts w:hint="eastAsia" w:ascii="宋体" w:hAnsi="宋体" w:cs="宋体"/>
                <w:color w:val="auto"/>
                <w:sz w:val="24"/>
                <w:highlight w:val="none"/>
              </w:rPr>
              <w:t>年度考核不合格的不予续签下一年度服务合同。</w:t>
            </w:r>
          </w:p>
        </w:tc>
      </w:tr>
      <w:tr w14:paraId="2FAA60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14:paraId="1AACEDE1">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color w:val="auto"/>
                <w:sz w:val="24"/>
                <w:highlight w:val="none"/>
              </w:rPr>
              <w:t>标的提供的地点</w:t>
            </w:r>
          </w:p>
        </w:tc>
        <w:tc>
          <w:tcPr>
            <w:tcW w:w="7336" w:type="dxa"/>
          </w:tcPr>
          <w:p w14:paraId="33F379F4">
            <w:pPr>
              <w:pStyle w:val="23"/>
              <w:adjustRightInd w:val="0"/>
              <w:spacing w:line="480" w:lineRule="exact"/>
              <w:ind w:firstLine="0" w:firstLineChars="0"/>
              <w:jc w:val="left"/>
              <w:rPr>
                <w:rFonts w:ascii="宋体" w:hAnsi="宋体" w:cs="宋体"/>
                <w:b/>
                <w:color w:val="auto"/>
                <w:sz w:val="24"/>
                <w:highlight w:val="none"/>
              </w:rPr>
            </w:pPr>
            <w:r>
              <w:rPr>
                <w:rFonts w:hint="eastAsia" w:ascii="宋体" w:hAnsi="宋体" w:cs="宋体"/>
                <w:color w:val="auto"/>
                <w:sz w:val="24"/>
                <w:highlight w:val="none"/>
              </w:rPr>
              <w:t>开平市内采购人指定地点（以合同为准）</w:t>
            </w:r>
          </w:p>
        </w:tc>
      </w:tr>
      <w:tr w14:paraId="498839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14:paraId="5B7B7A34">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color w:val="auto"/>
                <w:sz w:val="24"/>
                <w:highlight w:val="none"/>
              </w:rPr>
              <w:t>投标有效期</w:t>
            </w:r>
          </w:p>
        </w:tc>
        <w:tc>
          <w:tcPr>
            <w:tcW w:w="7336" w:type="dxa"/>
          </w:tcPr>
          <w:p w14:paraId="11D5B71B">
            <w:pPr>
              <w:pStyle w:val="23"/>
              <w:adjustRightInd w:val="0"/>
              <w:spacing w:line="480" w:lineRule="exact"/>
              <w:ind w:firstLine="0" w:firstLineChars="0"/>
              <w:jc w:val="left"/>
              <w:rPr>
                <w:rFonts w:ascii="宋体" w:hAnsi="宋体" w:cs="宋体"/>
                <w:color w:val="auto"/>
                <w:sz w:val="24"/>
                <w:highlight w:val="none"/>
              </w:rPr>
            </w:pPr>
            <w:r>
              <w:rPr>
                <w:rFonts w:hint="eastAsia" w:ascii="宋体" w:hAnsi="宋体" w:cs="宋体"/>
                <w:color w:val="auto"/>
                <w:sz w:val="24"/>
                <w:highlight w:val="none"/>
              </w:rPr>
              <w:t>从提交投标文件的截止之日起90日历天</w:t>
            </w:r>
          </w:p>
        </w:tc>
      </w:tr>
      <w:tr w14:paraId="3950C0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14:paraId="09DF7517">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color w:val="auto"/>
                <w:sz w:val="24"/>
                <w:highlight w:val="none"/>
              </w:rPr>
              <w:t>付款方式</w:t>
            </w:r>
          </w:p>
        </w:tc>
        <w:tc>
          <w:tcPr>
            <w:tcW w:w="7336" w:type="dxa"/>
          </w:tcPr>
          <w:p w14:paraId="5BF79C4D">
            <w:pPr>
              <w:spacing w:line="480" w:lineRule="exact"/>
              <w:jc w:val="left"/>
              <w:rPr>
                <w:color w:val="auto"/>
                <w:highlight w:val="none"/>
              </w:rPr>
            </w:pPr>
            <w:r>
              <w:rPr>
                <w:rFonts w:hint="eastAsia" w:ascii="宋体" w:hAnsi="宋体" w:cs="宋体"/>
                <w:color w:val="auto"/>
                <w:sz w:val="24"/>
                <w:highlight w:val="none"/>
              </w:rPr>
              <w:t>1期：支付比例</w:t>
            </w:r>
            <w:r>
              <w:rPr>
                <w:rFonts w:hint="eastAsia" w:ascii="宋体" w:hAnsi="宋体" w:cs="宋体"/>
                <w:bCs/>
                <w:color w:val="auto"/>
                <w:sz w:val="24"/>
                <w:highlight w:val="none"/>
                <w:u w:val="single"/>
              </w:rPr>
              <w:t>100</w:t>
            </w:r>
            <w:r>
              <w:rPr>
                <w:rFonts w:hint="eastAsia" w:ascii="宋体" w:hAnsi="宋体" w:cs="宋体"/>
                <w:color w:val="auto"/>
                <w:sz w:val="24"/>
                <w:highlight w:val="none"/>
              </w:rPr>
              <w:t>%，按月支付一次。</w:t>
            </w:r>
            <w:r>
              <w:rPr>
                <w:rFonts w:hint="eastAsia" w:ascii="宋体" w:hAnsi="宋体" w:cs="宋体"/>
                <w:bCs/>
                <w:color w:val="auto"/>
                <w:sz w:val="24"/>
                <w:szCs w:val="24"/>
                <w:highlight w:val="none"/>
              </w:rPr>
              <w:t>每月每个社区康园中心服务费将按学员的人数、出勤天数与社区康园中心评定星级对应的经费标准、月度考核结果和中标折扣率进行支付。</w:t>
            </w:r>
            <w:r>
              <w:rPr>
                <w:rFonts w:hint="eastAsia" w:ascii="宋体" w:hAnsi="宋体" w:cs="宋体"/>
                <w:bCs/>
                <w:color w:val="auto"/>
                <w:sz w:val="24"/>
                <w:highlight w:val="none"/>
              </w:rPr>
              <w:t>所有社区康园中心管理服务费</w:t>
            </w:r>
            <w:r>
              <w:rPr>
                <w:rFonts w:hint="eastAsia" w:hAnsi="宋体" w:cs="宋体"/>
                <w:color w:val="auto"/>
                <w:sz w:val="24"/>
                <w:highlight w:val="none"/>
              </w:rPr>
              <w:t>具体计算按相应要求执行</w:t>
            </w:r>
            <w:r>
              <w:rPr>
                <w:rFonts w:hint="eastAsia" w:ascii="宋体" w:hAnsi="宋体" w:cs="宋体"/>
                <w:bCs/>
                <w:color w:val="auto"/>
                <w:sz w:val="24"/>
                <w:highlight w:val="none"/>
              </w:rPr>
              <w:t>。</w:t>
            </w:r>
            <w:r>
              <w:rPr>
                <w:rFonts w:hint="eastAsia" w:ascii="宋体" w:hAnsi="宋体" w:cs="宋体"/>
                <w:bCs/>
                <w:color w:val="auto"/>
                <w:sz w:val="24"/>
                <w:szCs w:val="24"/>
                <w:highlight w:val="none"/>
              </w:rPr>
              <w:t>每月社区康园中心服务费</w:t>
            </w:r>
            <w:r>
              <w:rPr>
                <w:rFonts w:hint="eastAsia" w:ascii="宋体" w:hAnsi="宋体" w:cs="宋体"/>
                <w:bCs/>
                <w:color w:val="auto"/>
                <w:sz w:val="24"/>
                <w:highlight w:val="none"/>
              </w:rPr>
              <w:t>为当月所有社区康园中心管理服务费之和，按实结算。采购人对中标供应商结算资料进行审核后向财政部门提交付款申请办理结算手续，</w:t>
            </w:r>
            <w:r>
              <w:rPr>
                <w:rFonts w:hint="eastAsia" w:ascii="宋体" w:hAnsi="宋体" w:cs="宋体"/>
                <w:color w:val="auto"/>
                <w:sz w:val="24"/>
                <w:highlight w:val="none"/>
              </w:rPr>
              <w:t>通过银行转账的方式向中标供应商支付相应款项。</w:t>
            </w:r>
          </w:p>
          <w:p w14:paraId="05FB7E9E">
            <w:pPr>
              <w:pStyle w:val="7"/>
              <w:spacing w:line="480" w:lineRule="exact"/>
              <w:rPr>
                <w:rFonts w:hAnsi="宋体" w:cs="宋体"/>
                <w:color w:val="auto"/>
                <w:sz w:val="24"/>
                <w:highlight w:val="none"/>
              </w:rPr>
            </w:pPr>
            <w:r>
              <w:rPr>
                <w:rFonts w:hint="eastAsia" w:hAnsi="宋体" w:cs="宋体"/>
                <w:color w:val="auto"/>
                <w:sz w:val="24"/>
                <w:highlight w:val="none"/>
              </w:rPr>
              <w:t>注：①采购人在规定时间内提出支付申请手续后，即视为采购人已经按期支付，实际付款到账时间及金额以支付单位支付时间及金额为准，采购人不承担任何逾期付款的违约责任。②若投标人以联合体形式参加投标（响应）的，根据供应商各联合体成员承担的各康园中心服务工作量以及各联合体成员共同约定由采购人以各社区康园中心为单位分别向相应联合体成员直接支付款项。</w:t>
            </w:r>
          </w:p>
        </w:tc>
      </w:tr>
      <w:tr w14:paraId="7EEC4B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14:paraId="6ACA4733">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color w:val="auto"/>
                <w:sz w:val="24"/>
                <w:highlight w:val="none"/>
              </w:rPr>
              <w:t>验收要求</w:t>
            </w:r>
          </w:p>
        </w:tc>
        <w:tc>
          <w:tcPr>
            <w:tcW w:w="7336" w:type="dxa"/>
          </w:tcPr>
          <w:p w14:paraId="5F62C55E">
            <w:pPr>
              <w:pStyle w:val="7"/>
              <w:spacing w:line="480" w:lineRule="exact"/>
              <w:rPr>
                <w:rFonts w:hAnsi="宋体" w:cs="宋体"/>
                <w:color w:val="auto"/>
                <w:sz w:val="24"/>
                <w:szCs w:val="24"/>
                <w:highlight w:val="none"/>
              </w:rPr>
            </w:pPr>
            <w:r>
              <w:rPr>
                <w:rFonts w:hint="eastAsia" w:hAnsi="宋体" w:cs="宋体"/>
                <w:color w:val="auto"/>
                <w:sz w:val="24"/>
                <w:szCs w:val="24"/>
                <w:highlight w:val="none"/>
              </w:rPr>
              <w:t>服务期内，采购人根据以下标准及要求对中标供应商进行监督、考核，具体如下：</w:t>
            </w:r>
          </w:p>
          <w:p w14:paraId="50A62AE6">
            <w:pPr>
              <w:pStyle w:val="7"/>
              <w:spacing w:line="480" w:lineRule="exact"/>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bCs/>
                <w:color w:val="auto"/>
                <w:sz w:val="24"/>
                <w:szCs w:val="24"/>
                <w:highlight w:val="none"/>
              </w:rPr>
              <w:t>中标供应商应按照《广东省社区康园中心服务规范》（DB44/T 2256-2020）、《关于印发&lt;广东省社区康园中心星级评定办法（试行）&gt;的通知》（粤残联〔2021〕136号）、《江门残疾人社区日间托养服务标准》、《开平市社区康园中心服务考核评估办法》等有关规范要求进行管理，服务质量和工作人员要符合《广东省社区康园中心服务规范》（DB44/T 2256-2020）的相关要求。</w:t>
            </w:r>
          </w:p>
          <w:p w14:paraId="17D8C96A">
            <w:pPr>
              <w:pStyle w:val="7"/>
              <w:spacing w:line="480" w:lineRule="exact"/>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bCs/>
                <w:color w:val="auto"/>
                <w:sz w:val="24"/>
                <w:szCs w:val="24"/>
                <w:highlight w:val="none"/>
              </w:rPr>
              <w:t>采购人日常依据中标供应商提供的服务明细记录和本条第1点所列有关文件规范要求进行服务综合能力评估及监督，并对中标供应商服务过程中存在的问题和不足及时反馈，对情节轻微的，发出整改通知书，限期改正；整改后仍达不到采购人要求或情节严重的，采购人有权拒付未支付的运作经费并无条件解除合同</w:t>
            </w:r>
            <w:r>
              <w:rPr>
                <w:rFonts w:hint="eastAsia" w:hAnsi="宋体" w:cs="宋体"/>
                <w:color w:val="auto"/>
                <w:sz w:val="24"/>
                <w:szCs w:val="24"/>
                <w:highlight w:val="none"/>
              </w:rPr>
              <w:t>。</w:t>
            </w:r>
          </w:p>
          <w:p w14:paraId="2E873720">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3、考核标准及要求：采购人根据合同相关条款及招标文件第二章采购需求中“六、考核标准”的要求，对中标供应商所服务的各社区康园中心</w:t>
            </w:r>
            <w:r>
              <w:rPr>
                <w:rFonts w:hint="eastAsia" w:ascii="宋体" w:hAnsi="宋体" w:cs="宋体"/>
                <w:color w:val="auto"/>
                <w:sz w:val="24"/>
                <w:highlight w:val="none"/>
              </w:rPr>
              <w:t>工作内容及工作质量进行月度定期考核测评</w:t>
            </w:r>
            <w:r>
              <w:rPr>
                <w:rFonts w:hint="eastAsia" w:ascii="宋体" w:hAnsi="宋体" w:cs="宋体"/>
                <w:color w:val="auto"/>
                <w:sz w:val="24"/>
                <w:szCs w:val="24"/>
                <w:highlight w:val="none"/>
              </w:rPr>
              <w:t>，综合各社区康园中心的每月考核结果汇总得出月度总考核结果、年度考核结果支付相应服务费，并根据年度考核结果确定续签下一年度的服务合同。</w:t>
            </w:r>
          </w:p>
          <w:p w14:paraId="2854ED9C">
            <w:pPr>
              <w:pStyle w:val="23"/>
              <w:adjustRightInd w:val="0"/>
              <w:spacing w:line="480" w:lineRule="exact"/>
              <w:ind w:firstLine="0" w:firstLineChars="0"/>
              <w:jc w:val="left"/>
              <w:rPr>
                <w:rFonts w:hAnsi="宋体" w:cs="宋体"/>
                <w:bCs/>
                <w:color w:val="auto"/>
                <w:sz w:val="24"/>
                <w:highlight w:val="none"/>
              </w:rPr>
            </w:pPr>
            <w:r>
              <w:rPr>
                <w:rFonts w:hint="eastAsia" w:ascii="宋体" w:hAnsi="宋体" w:cs="宋体"/>
                <w:bCs/>
                <w:color w:val="auto"/>
                <w:sz w:val="24"/>
                <w:highlight w:val="none"/>
              </w:rPr>
              <w:t>4、组织验收和考核</w:t>
            </w:r>
            <w:r>
              <w:rPr>
                <w:rFonts w:hint="eastAsia" w:hAnsi="宋体" w:cs="宋体"/>
                <w:bCs/>
                <w:color w:val="auto"/>
                <w:sz w:val="24"/>
                <w:highlight w:val="none"/>
              </w:rPr>
              <w:t>：由采购人组织验收</w:t>
            </w:r>
            <w:r>
              <w:rPr>
                <w:rFonts w:hint="eastAsia" w:ascii="宋体" w:hAnsi="宋体" w:cs="宋体"/>
                <w:bCs/>
                <w:color w:val="auto"/>
                <w:sz w:val="24"/>
                <w:highlight w:val="none"/>
              </w:rPr>
              <w:t>和考核</w:t>
            </w:r>
            <w:r>
              <w:rPr>
                <w:rFonts w:hint="eastAsia" w:hAnsi="宋体" w:cs="宋体"/>
                <w:bCs/>
                <w:color w:val="auto"/>
                <w:sz w:val="24"/>
                <w:highlight w:val="none"/>
              </w:rPr>
              <w:t>，中标供应商进行验收</w:t>
            </w:r>
            <w:r>
              <w:rPr>
                <w:rFonts w:hint="eastAsia" w:ascii="宋体" w:hAnsi="宋体" w:cs="宋体"/>
                <w:bCs/>
                <w:color w:val="auto"/>
                <w:sz w:val="24"/>
                <w:highlight w:val="none"/>
              </w:rPr>
              <w:t>和考核</w:t>
            </w:r>
            <w:r>
              <w:rPr>
                <w:rFonts w:hint="eastAsia" w:hAnsi="宋体" w:cs="宋体"/>
                <w:bCs/>
                <w:color w:val="auto"/>
                <w:sz w:val="24"/>
                <w:highlight w:val="none"/>
              </w:rPr>
              <w:t>材料提交及汇报。</w:t>
            </w:r>
          </w:p>
        </w:tc>
      </w:tr>
      <w:tr w14:paraId="4C0A4C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14:paraId="25EFC5D2">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color w:val="auto"/>
                <w:sz w:val="24"/>
                <w:highlight w:val="none"/>
              </w:rPr>
              <w:t>履约保证金</w:t>
            </w:r>
          </w:p>
        </w:tc>
        <w:tc>
          <w:tcPr>
            <w:tcW w:w="7336" w:type="dxa"/>
          </w:tcPr>
          <w:p w14:paraId="1F07CD3D">
            <w:pPr>
              <w:pStyle w:val="23"/>
              <w:adjustRightInd w:val="0"/>
              <w:spacing w:line="480" w:lineRule="exact"/>
              <w:ind w:firstLine="0" w:firstLineChars="0"/>
              <w:jc w:val="left"/>
              <w:rPr>
                <w:rFonts w:ascii="宋体" w:hAnsi="宋体" w:cs="宋体"/>
                <w:color w:val="auto"/>
                <w:sz w:val="24"/>
                <w:highlight w:val="none"/>
              </w:rPr>
            </w:pPr>
            <w:r>
              <w:rPr>
                <w:rFonts w:hint="eastAsia" w:ascii="宋体" w:hAnsi="宋体" w:cs="宋体"/>
                <w:color w:val="auto"/>
                <w:sz w:val="24"/>
                <w:highlight w:val="none"/>
              </w:rPr>
              <w:t>不收取</w:t>
            </w:r>
          </w:p>
        </w:tc>
      </w:tr>
    </w:tbl>
    <w:p w14:paraId="009E1927">
      <w:pPr>
        <w:pStyle w:val="23"/>
        <w:adjustRightInd w:val="0"/>
        <w:spacing w:line="480" w:lineRule="exact"/>
        <w:ind w:firstLine="482"/>
        <w:jc w:val="left"/>
        <w:rPr>
          <w:rFonts w:ascii="宋体" w:hAnsi="宋体" w:cs="宋体"/>
          <w:b/>
          <w:color w:val="auto"/>
          <w:sz w:val="24"/>
          <w:highlight w:val="none"/>
        </w:rPr>
      </w:pPr>
    </w:p>
    <w:p w14:paraId="18AFC224">
      <w:pPr>
        <w:pStyle w:val="23"/>
        <w:adjustRightInd w:val="0"/>
        <w:spacing w:line="48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其他商务需求</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5"/>
        <w:gridCol w:w="680"/>
        <w:gridCol w:w="1371"/>
        <w:gridCol w:w="5696"/>
      </w:tblGrid>
      <w:tr w14:paraId="44A481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E0F7A11">
            <w:pPr>
              <w:pStyle w:val="23"/>
              <w:adjustRightInd w:val="0"/>
              <w:spacing w:line="480" w:lineRule="exact"/>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参数性质</w:t>
            </w:r>
          </w:p>
        </w:tc>
        <w:tc>
          <w:tcPr>
            <w:tcW w:w="709" w:type="dxa"/>
            <w:vAlign w:val="center"/>
          </w:tcPr>
          <w:p w14:paraId="0FFB0988">
            <w:pPr>
              <w:pStyle w:val="23"/>
              <w:adjustRightInd w:val="0"/>
              <w:spacing w:line="480" w:lineRule="exact"/>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编号</w:t>
            </w:r>
          </w:p>
        </w:tc>
        <w:tc>
          <w:tcPr>
            <w:tcW w:w="1490" w:type="dxa"/>
            <w:vAlign w:val="center"/>
          </w:tcPr>
          <w:p w14:paraId="79E59D10">
            <w:pPr>
              <w:pStyle w:val="23"/>
              <w:adjustRightInd w:val="0"/>
              <w:spacing w:line="480" w:lineRule="exact"/>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内容明细</w:t>
            </w:r>
          </w:p>
        </w:tc>
        <w:tc>
          <w:tcPr>
            <w:tcW w:w="6271" w:type="dxa"/>
            <w:vAlign w:val="center"/>
          </w:tcPr>
          <w:p w14:paraId="09BB3A1E">
            <w:pPr>
              <w:pStyle w:val="23"/>
              <w:adjustRightInd w:val="0"/>
              <w:spacing w:line="480" w:lineRule="exact"/>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内容说明</w:t>
            </w:r>
          </w:p>
        </w:tc>
      </w:tr>
      <w:tr w14:paraId="78E19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CD8D586">
            <w:pPr>
              <w:pStyle w:val="23"/>
              <w:adjustRightInd w:val="0"/>
              <w:spacing w:line="480" w:lineRule="exact"/>
              <w:ind w:firstLine="0" w:firstLineChars="0"/>
              <w:jc w:val="center"/>
              <w:rPr>
                <w:rFonts w:asciiTheme="minorEastAsia" w:hAnsiTheme="minorEastAsia" w:eastAsiaTheme="minorEastAsia"/>
                <w:b/>
                <w:color w:val="auto"/>
                <w:sz w:val="24"/>
                <w:highlight w:val="none"/>
              </w:rPr>
            </w:pPr>
          </w:p>
        </w:tc>
        <w:tc>
          <w:tcPr>
            <w:tcW w:w="709" w:type="dxa"/>
            <w:vAlign w:val="center"/>
          </w:tcPr>
          <w:p w14:paraId="460C3A4E">
            <w:pPr>
              <w:pStyle w:val="23"/>
              <w:adjustRightInd w:val="0"/>
              <w:spacing w:line="480" w:lineRule="exact"/>
              <w:ind w:firstLine="0" w:firstLineChars="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p>
        </w:tc>
        <w:tc>
          <w:tcPr>
            <w:tcW w:w="1490" w:type="dxa"/>
            <w:vAlign w:val="center"/>
          </w:tcPr>
          <w:p w14:paraId="48687582">
            <w:pPr>
              <w:pStyle w:val="23"/>
              <w:adjustRightInd w:val="0"/>
              <w:spacing w:line="480" w:lineRule="exact"/>
              <w:ind w:firstLine="0" w:firstLineChars="0"/>
              <w:jc w:val="center"/>
              <w:rPr>
                <w:rFonts w:asciiTheme="minorEastAsia" w:hAnsiTheme="minorEastAsia" w:eastAsiaTheme="minorEastAsia"/>
                <w:bCs/>
                <w:color w:val="auto"/>
                <w:sz w:val="24"/>
                <w:highlight w:val="none"/>
              </w:rPr>
            </w:pPr>
            <w:r>
              <w:rPr>
                <w:rFonts w:hint="eastAsia" w:ascii="宋体" w:hAnsi="宋体" w:cs="宋体"/>
                <w:color w:val="auto"/>
                <w:sz w:val="24"/>
                <w:highlight w:val="none"/>
              </w:rPr>
              <w:t>其他商务要求</w:t>
            </w:r>
          </w:p>
        </w:tc>
        <w:tc>
          <w:tcPr>
            <w:tcW w:w="6271" w:type="dxa"/>
          </w:tcPr>
          <w:p w14:paraId="173D9E4D">
            <w:pPr>
              <w:pStyle w:val="7"/>
              <w:numPr>
                <w:ilvl w:val="0"/>
                <w:numId w:val="2"/>
              </w:numPr>
              <w:tabs>
                <w:tab w:val="left" w:pos="810"/>
              </w:tabs>
              <w:spacing w:line="480" w:lineRule="exact"/>
              <w:ind w:firstLine="0"/>
              <w:rPr>
                <w:rFonts w:hAnsi="宋体" w:cs="宋体"/>
                <w:color w:val="auto"/>
                <w:sz w:val="24"/>
                <w:highlight w:val="none"/>
              </w:rPr>
            </w:pPr>
            <w:r>
              <w:rPr>
                <w:rFonts w:hint="eastAsia" w:hAnsi="宋体" w:cs="宋体"/>
                <w:color w:val="auto"/>
                <w:sz w:val="24"/>
                <w:highlight w:val="none"/>
              </w:rPr>
              <w:t>本次招标采购内容为</w:t>
            </w:r>
            <w:r>
              <w:rPr>
                <w:rFonts w:hint="eastAsia" w:hAnsi="宋体" w:cs="宋体"/>
                <w:color w:val="auto"/>
                <w:sz w:val="24"/>
                <w:szCs w:val="24"/>
                <w:highlight w:val="none"/>
              </w:rPr>
              <w:t>开平市社区康园中心运作和管理服务，</w:t>
            </w:r>
            <w:r>
              <w:rPr>
                <w:rFonts w:hint="eastAsia" w:hAnsi="宋体" w:cs="宋体"/>
                <w:color w:val="auto"/>
                <w:sz w:val="24"/>
                <w:highlight w:val="none"/>
              </w:rPr>
              <w:t>投标人不得将本项目中的内容拆散来投标。</w:t>
            </w:r>
          </w:p>
          <w:p w14:paraId="2D408552">
            <w:pPr>
              <w:pStyle w:val="7"/>
              <w:numPr>
                <w:ilvl w:val="0"/>
                <w:numId w:val="2"/>
              </w:numPr>
              <w:tabs>
                <w:tab w:val="left" w:pos="810"/>
              </w:tabs>
              <w:spacing w:line="480" w:lineRule="exact"/>
              <w:ind w:firstLine="0"/>
              <w:rPr>
                <w:rFonts w:hAnsi="宋体" w:cs="宋体"/>
                <w:color w:val="auto"/>
                <w:sz w:val="24"/>
                <w:highlight w:val="none"/>
              </w:rPr>
            </w:pPr>
            <w:r>
              <w:rPr>
                <w:rFonts w:hint="eastAsia" w:hAnsi="宋体" w:cs="宋体"/>
                <w:color w:val="auto"/>
                <w:sz w:val="24"/>
                <w:highlight w:val="none"/>
              </w:rPr>
              <w:t>投标人应当在投标文件中详细列出并提供相关证明文件证明本项目负责人和</w:t>
            </w:r>
            <w:r>
              <w:rPr>
                <w:rFonts w:hint="eastAsia" w:hAnsi="宋体" w:cs="宋体"/>
                <w:color w:val="auto"/>
                <w:sz w:val="24"/>
                <w:highlight w:val="none"/>
                <w:lang w:eastAsia="zh-CN"/>
              </w:rPr>
              <w:t>专职工作</w:t>
            </w:r>
            <w:r>
              <w:rPr>
                <w:rFonts w:hint="eastAsia" w:hAnsi="宋体" w:cs="宋体"/>
                <w:color w:val="auto"/>
                <w:sz w:val="24"/>
                <w:highlight w:val="none"/>
              </w:rPr>
              <w:t>人员的学历、职称</w:t>
            </w:r>
            <w:r>
              <w:rPr>
                <w:rFonts w:hint="eastAsia" w:hAnsi="宋体" w:cs="宋体"/>
                <w:color w:val="auto"/>
                <w:sz w:val="24"/>
                <w:highlight w:val="none"/>
                <w:lang w:eastAsia="zh-CN"/>
              </w:rPr>
              <w:t>（资格）</w:t>
            </w:r>
            <w:r>
              <w:rPr>
                <w:rFonts w:hint="eastAsia" w:hAnsi="宋体" w:cs="宋体"/>
                <w:color w:val="auto"/>
                <w:sz w:val="24"/>
                <w:highlight w:val="none"/>
              </w:rPr>
              <w:t>、从事相关工作的时间，承担过类似项目名称、责任内容、完成日期以及其它业绩证明材料。</w:t>
            </w:r>
          </w:p>
          <w:p w14:paraId="769EC827">
            <w:pPr>
              <w:pStyle w:val="7"/>
              <w:numPr>
                <w:ilvl w:val="0"/>
                <w:numId w:val="2"/>
              </w:numPr>
              <w:tabs>
                <w:tab w:val="left" w:pos="810"/>
              </w:tabs>
              <w:spacing w:line="480" w:lineRule="exact"/>
              <w:ind w:firstLine="0"/>
              <w:rPr>
                <w:rFonts w:hAnsi="宋体" w:cs="宋体"/>
                <w:color w:val="auto"/>
                <w:sz w:val="24"/>
                <w:highlight w:val="none"/>
              </w:rPr>
            </w:pPr>
            <w:r>
              <w:rPr>
                <w:rFonts w:hint="eastAsia" w:hAnsi="宋体" w:cs="宋体"/>
                <w:color w:val="auto"/>
                <w:sz w:val="24"/>
                <w:highlight w:val="none"/>
              </w:rPr>
              <w:t>投标人应当说明与本项目类似的其它项目的业绩和服务情况等。</w:t>
            </w:r>
          </w:p>
          <w:p w14:paraId="7E3BF268">
            <w:pPr>
              <w:pStyle w:val="7"/>
              <w:numPr>
                <w:ilvl w:val="0"/>
                <w:numId w:val="2"/>
              </w:numPr>
              <w:tabs>
                <w:tab w:val="left" w:pos="810"/>
              </w:tabs>
              <w:spacing w:line="480" w:lineRule="exact"/>
              <w:ind w:firstLine="0"/>
              <w:rPr>
                <w:rFonts w:hAnsi="宋体" w:cs="宋体"/>
                <w:color w:val="auto"/>
                <w:sz w:val="24"/>
                <w:highlight w:val="none"/>
              </w:rPr>
            </w:pPr>
            <w:r>
              <w:rPr>
                <w:rFonts w:hint="eastAsia" w:hAnsi="宋体" w:cs="宋体"/>
                <w:color w:val="auto"/>
                <w:sz w:val="24"/>
                <w:highlight w:val="none"/>
              </w:rPr>
              <w:t>投标人在保证质量的前提下，应能按时完成所有工作内容。</w:t>
            </w:r>
          </w:p>
          <w:p w14:paraId="584919DE">
            <w:pPr>
              <w:pStyle w:val="7"/>
              <w:numPr>
                <w:ilvl w:val="0"/>
                <w:numId w:val="2"/>
              </w:numPr>
              <w:tabs>
                <w:tab w:val="left" w:pos="810"/>
              </w:tabs>
              <w:spacing w:line="480" w:lineRule="exact"/>
              <w:ind w:firstLine="0"/>
              <w:rPr>
                <w:rFonts w:hAnsi="宋体" w:cs="宋体"/>
                <w:color w:val="auto"/>
                <w:sz w:val="24"/>
                <w:highlight w:val="none"/>
              </w:rPr>
            </w:pPr>
            <w:r>
              <w:rPr>
                <w:rFonts w:hint="eastAsia" w:hAnsi="宋体" w:cs="宋体"/>
                <w:color w:val="auto"/>
                <w:sz w:val="24"/>
                <w:highlight w:val="none"/>
              </w:rPr>
              <w:t>在中标后的整个服务期间，投标人若发生人身伤亡、财物或其它损失，无论何种原因所致，采购人和采购代理机构均不负责。</w:t>
            </w:r>
          </w:p>
          <w:p w14:paraId="196F690D">
            <w:pPr>
              <w:pStyle w:val="7"/>
              <w:numPr>
                <w:ilvl w:val="0"/>
                <w:numId w:val="2"/>
              </w:numPr>
              <w:tabs>
                <w:tab w:val="left" w:pos="810"/>
              </w:tabs>
              <w:spacing w:line="480" w:lineRule="exact"/>
              <w:ind w:firstLine="0"/>
              <w:rPr>
                <w:rFonts w:hAnsi="宋体" w:cs="宋体"/>
                <w:color w:val="auto"/>
                <w:sz w:val="24"/>
                <w:highlight w:val="none"/>
              </w:rPr>
            </w:pPr>
            <w:r>
              <w:rPr>
                <w:rFonts w:hint="eastAsia" w:hAnsi="宋体" w:cs="宋体"/>
                <w:color w:val="auto"/>
                <w:sz w:val="24"/>
                <w:highlight w:val="none"/>
              </w:rPr>
              <w:t>投标人必须负责本项目社区康园中心运作和管理服务所有相关工作及发生的费用。</w:t>
            </w:r>
          </w:p>
          <w:p w14:paraId="7BD0BC77">
            <w:pPr>
              <w:pStyle w:val="7"/>
              <w:numPr>
                <w:ilvl w:val="0"/>
                <w:numId w:val="2"/>
              </w:numPr>
              <w:tabs>
                <w:tab w:val="left" w:pos="810"/>
              </w:tabs>
              <w:spacing w:line="480" w:lineRule="exact"/>
              <w:ind w:firstLine="0"/>
              <w:rPr>
                <w:rFonts w:hAnsi="宋体" w:cs="宋体"/>
                <w:color w:val="auto"/>
                <w:sz w:val="24"/>
                <w:highlight w:val="none"/>
              </w:rPr>
            </w:pPr>
            <w:r>
              <w:rPr>
                <w:rFonts w:hint="eastAsia" w:hAnsi="宋体" w:cs="宋体"/>
                <w:color w:val="auto"/>
                <w:kern w:val="0"/>
                <w:sz w:val="24"/>
                <w:szCs w:val="24"/>
                <w:highlight w:val="none"/>
              </w:rPr>
              <w:t>本项目如涉及</w:t>
            </w:r>
            <w:r>
              <w:rPr>
                <w:rFonts w:hint="eastAsia" w:hAnsi="宋体" w:cs="宋体"/>
                <w:color w:val="auto"/>
                <w:sz w:val="24"/>
                <w:highlight w:val="none"/>
              </w:rPr>
              <w:t>商品包装、快递包装，应当满足商品包装政府采购需求标准、快递包装政府采购需求标准。</w:t>
            </w:r>
          </w:p>
          <w:p w14:paraId="50A25DBB">
            <w:pPr>
              <w:pStyle w:val="7"/>
              <w:numPr>
                <w:ilvl w:val="0"/>
                <w:numId w:val="2"/>
              </w:numPr>
              <w:tabs>
                <w:tab w:val="left" w:pos="810"/>
              </w:tabs>
              <w:spacing w:line="480" w:lineRule="exact"/>
              <w:ind w:firstLine="0"/>
              <w:rPr>
                <w:rFonts w:asciiTheme="minorEastAsia" w:hAnsiTheme="minorEastAsia" w:eastAsiaTheme="minorEastAsia"/>
                <w:b/>
                <w:color w:val="auto"/>
                <w:sz w:val="24"/>
                <w:highlight w:val="none"/>
              </w:rPr>
            </w:pPr>
            <w:r>
              <w:rPr>
                <w:rFonts w:hint="eastAsia" w:hAnsi="宋体" w:cs="宋体"/>
                <w:color w:val="auto"/>
                <w:sz w:val="24"/>
                <w:highlight w:val="none"/>
              </w:rPr>
              <w:t>本项目在服务期内，如涉及原需遵循的政策、规范出现调整或更新，投标人应同步按照最新版本的政策、规范要求执行，确保社区康园中心运作和管理服务符合最新现行政策、规范的要求。</w:t>
            </w:r>
          </w:p>
        </w:tc>
      </w:tr>
      <w:tr w14:paraId="74200E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6D3FAA4">
            <w:pPr>
              <w:pStyle w:val="23"/>
              <w:adjustRightInd w:val="0"/>
              <w:spacing w:line="480" w:lineRule="exact"/>
              <w:ind w:firstLine="0" w:firstLineChars="0"/>
              <w:jc w:val="center"/>
              <w:rPr>
                <w:rFonts w:asciiTheme="minorEastAsia" w:hAnsiTheme="minorEastAsia" w:eastAsiaTheme="minorEastAsia"/>
                <w:b/>
                <w:color w:val="auto"/>
                <w:sz w:val="24"/>
                <w:highlight w:val="none"/>
              </w:rPr>
            </w:pPr>
          </w:p>
        </w:tc>
        <w:tc>
          <w:tcPr>
            <w:tcW w:w="709" w:type="dxa"/>
            <w:vAlign w:val="center"/>
          </w:tcPr>
          <w:p w14:paraId="29F062A5">
            <w:pPr>
              <w:pStyle w:val="23"/>
              <w:adjustRightInd w:val="0"/>
              <w:spacing w:line="480" w:lineRule="exact"/>
              <w:ind w:firstLine="0" w:firstLineChars="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p>
        </w:tc>
        <w:tc>
          <w:tcPr>
            <w:tcW w:w="1490" w:type="dxa"/>
            <w:vAlign w:val="center"/>
          </w:tcPr>
          <w:p w14:paraId="39ABB58A">
            <w:pPr>
              <w:pStyle w:val="23"/>
              <w:adjustRightInd w:val="0"/>
              <w:spacing w:line="480" w:lineRule="exact"/>
              <w:ind w:firstLine="0" w:firstLineChars="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报价要求</w:t>
            </w:r>
          </w:p>
        </w:tc>
        <w:tc>
          <w:tcPr>
            <w:tcW w:w="6271" w:type="dxa"/>
          </w:tcPr>
          <w:p w14:paraId="1D641561">
            <w:pPr>
              <w:pStyle w:val="23"/>
              <w:adjustRightInd w:val="0"/>
              <w:spacing w:line="480" w:lineRule="exact"/>
              <w:ind w:firstLine="0" w:firstLineChars="0"/>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本次投标报价仅报折扣率，本项目的社区康园中心管理服务费总价格应为服务期内的所有社区康园中心管理服务费之和，按实结算。各社区康园中心管理服务费应为人民币含税全包价，包括但不限于社区康园中心的日常管理，为服务对象开展日间生活照顾和护理、生活自理能力训练、社会适应能力辅导、职业康复与劳动技能训练、运动功能训练等服务，协助街道（乡镇）残联开展残疾人情况调查、政策宣传、通报转介和跟踪随访工作，协助残联等有关部门组织康园中心残疾人参加文体表演和各类技能竞赛活动，承担运营社区康园中心和开展上述服务发生的所有后续服务费用（包括社区康园中心的工作人员经费、服务对象的意外保险、水电费、通讯费、管理费、日常修葺费、耗品购置费等费用，但不包括基础建设</w:t>
            </w:r>
            <w:r>
              <w:rPr>
                <w:rFonts w:hint="eastAsia" w:asciiTheme="minorEastAsia" w:hAnsiTheme="minorEastAsia" w:eastAsiaTheme="minorEastAsia"/>
                <w:bCs/>
                <w:color w:val="auto"/>
                <w:sz w:val="24"/>
                <w:highlight w:val="none"/>
                <w:lang w:eastAsia="zh-CN"/>
              </w:rPr>
              <w:t>、修缮</w:t>
            </w:r>
            <w:r>
              <w:rPr>
                <w:rFonts w:hint="eastAsia" w:asciiTheme="minorEastAsia" w:hAnsiTheme="minorEastAsia" w:eastAsiaTheme="minorEastAsia"/>
                <w:bCs/>
                <w:color w:val="auto"/>
                <w:sz w:val="24"/>
                <w:highlight w:val="none"/>
              </w:rPr>
              <w:t>和设备设施的支出），以及验收等一切费用。</w:t>
            </w:r>
          </w:p>
          <w:p w14:paraId="29DA04B4">
            <w:pPr>
              <w:pStyle w:val="23"/>
              <w:adjustRightInd w:val="0"/>
              <w:spacing w:line="480" w:lineRule="exact"/>
              <w:ind w:firstLine="0" w:firstLineChars="0"/>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2、报价方式：</w:t>
            </w:r>
          </w:p>
          <w:p w14:paraId="1F669469">
            <w:pPr>
              <w:pStyle w:val="23"/>
              <w:adjustRightInd w:val="0"/>
              <w:spacing w:line="480" w:lineRule="exact"/>
              <w:ind w:firstLine="0" w:firstLineChars="0"/>
              <w:jc w:val="left"/>
              <w:rPr>
                <w:rFonts w:hAnsi="宋体" w:cs="宋体"/>
                <w:color w:val="auto"/>
                <w:sz w:val="24"/>
                <w:highlight w:val="none"/>
              </w:rPr>
            </w:pPr>
            <w:r>
              <w:rPr>
                <w:rFonts w:hint="eastAsia" w:ascii="宋体" w:hAnsi="宋体" w:cs="宋体"/>
                <w:color w:val="auto"/>
                <w:sz w:val="24"/>
                <w:highlight w:val="none"/>
              </w:rPr>
              <w:t>（1）本项目采用折扣率报价的方式进行投标报价，报价格式为百分比（xx%）。投标人进行投标报价时，投报一个折扣率作为所有社区康园管理服务的</w:t>
            </w:r>
            <w:r>
              <w:rPr>
                <w:rFonts w:hint="eastAsia" w:hAnsi="宋体" w:cs="宋体"/>
                <w:color w:val="auto"/>
                <w:sz w:val="24"/>
                <w:highlight w:val="none"/>
              </w:rPr>
              <w:t>各相应</w:t>
            </w:r>
            <w:r>
              <w:rPr>
                <w:rFonts w:hint="eastAsia" w:ascii="宋体" w:hAnsi="宋体" w:cs="宋体"/>
                <w:color w:val="auto"/>
                <w:sz w:val="24"/>
                <w:highlight w:val="none"/>
              </w:rPr>
              <w:t>社区康园</w:t>
            </w:r>
            <w:r>
              <w:rPr>
                <w:rFonts w:hint="eastAsia" w:hAnsi="宋体" w:cs="宋体"/>
                <w:color w:val="auto"/>
                <w:sz w:val="24"/>
                <w:highlight w:val="none"/>
              </w:rPr>
              <w:t>每学员当月实际服务费</w:t>
            </w:r>
            <w:r>
              <w:rPr>
                <w:rFonts w:hint="eastAsia" w:ascii="宋体" w:hAnsi="宋体" w:cs="宋体"/>
                <w:color w:val="auto"/>
                <w:sz w:val="24"/>
                <w:highlight w:val="none"/>
              </w:rPr>
              <w:t>的统一计价折扣率，为含税全包价。</w:t>
            </w:r>
            <w:r>
              <w:rPr>
                <w:rFonts w:hint="eastAsia" w:hAnsi="宋体" w:cs="宋体"/>
                <w:color w:val="auto"/>
                <w:sz w:val="24"/>
                <w:highlight w:val="none"/>
              </w:rPr>
              <w:t>各相应</w:t>
            </w:r>
            <w:r>
              <w:rPr>
                <w:rFonts w:hint="eastAsia" w:ascii="宋体" w:hAnsi="宋体" w:cs="宋体"/>
                <w:color w:val="auto"/>
                <w:sz w:val="24"/>
                <w:highlight w:val="none"/>
              </w:rPr>
              <w:t>社区康园</w:t>
            </w:r>
            <w:r>
              <w:rPr>
                <w:rFonts w:hint="eastAsia" w:hAnsi="宋体" w:cs="宋体"/>
                <w:color w:val="auto"/>
                <w:sz w:val="24"/>
                <w:highlight w:val="none"/>
              </w:rPr>
              <w:t>每学员当月实际服务费</w:t>
            </w:r>
            <w:r>
              <w:rPr>
                <w:rFonts w:hint="eastAsia" w:hAnsi="宋体" w:cs="宋体"/>
                <w:bCs/>
                <w:color w:val="auto"/>
                <w:sz w:val="24"/>
                <w:highlight w:val="none"/>
              </w:rPr>
              <w:t>=星级对应每学员服务费标准÷当月应出勤天数×实际出勤天数×中标折扣率。</w:t>
            </w:r>
            <w:r>
              <w:rPr>
                <w:rFonts w:hint="eastAsia" w:hAnsi="宋体" w:cs="宋体"/>
                <w:color w:val="auto"/>
                <w:sz w:val="24"/>
                <w:highlight w:val="none"/>
              </w:rPr>
              <w:t>当月</w:t>
            </w:r>
            <w:r>
              <w:rPr>
                <w:rFonts w:hint="eastAsia" w:ascii="宋体" w:hAnsi="宋体" w:cs="宋体"/>
                <w:color w:val="auto"/>
                <w:sz w:val="24"/>
                <w:highlight w:val="none"/>
              </w:rPr>
              <w:t>社区康园管理服务</w:t>
            </w:r>
            <w:r>
              <w:rPr>
                <w:rFonts w:hint="eastAsia" w:hAnsi="宋体" w:cs="宋体"/>
                <w:color w:val="auto"/>
                <w:sz w:val="24"/>
                <w:highlight w:val="none"/>
              </w:rPr>
              <w:t>费按实结算，具体计算以“服务费标准及服务费的计算方法”中相应要求为准。</w:t>
            </w:r>
          </w:p>
          <w:p w14:paraId="2832843A">
            <w:pPr>
              <w:pStyle w:val="5"/>
              <w:spacing w:line="480" w:lineRule="exact"/>
              <w:rPr>
                <w:rFonts w:ascii="宋体" w:hAnsi="宋体" w:cs="宋体"/>
                <w:color w:val="auto"/>
                <w:sz w:val="24"/>
                <w:highlight w:val="none"/>
              </w:rPr>
            </w:pPr>
            <w:r>
              <w:rPr>
                <w:rFonts w:hint="eastAsia" w:ascii="宋体" w:hAnsi="宋体" w:cs="宋体"/>
                <w:color w:val="auto"/>
                <w:sz w:val="24"/>
                <w:highlight w:val="none"/>
              </w:rPr>
              <w:t>（2）中标供应商的中标折扣率在服务期内不能作出改变，投标人应充分考虑服务期间服务价格波动引起的风险。</w:t>
            </w:r>
          </w:p>
          <w:p w14:paraId="5B980E4E">
            <w:pPr>
              <w:pStyle w:val="23"/>
              <w:adjustRightInd w:val="0"/>
              <w:spacing w:line="480" w:lineRule="exact"/>
              <w:ind w:firstLine="0" w:firstLineChars="0"/>
              <w:jc w:val="left"/>
              <w:rPr>
                <w:rFonts w:hAnsi="宋体" w:cs="宋体"/>
                <w:color w:val="auto"/>
                <w:sz w:val="24"/>
                <w:highlight w:val="none"/>
              </w:rPr>
            </w:pPr>
            <w:r>
              <w:rPr>
                <w:rFonts w:hint="eastAsia" w:ascii="宋体" w:hAnsi="宋体" w:cs="宋体"/>
                <w:color w:val="auto"/>
                <w:sz w:val="24"/>
                <w:highlight w:val="none"/>
              </w:rPr>
              <w:t>（3）本项目的最高折扣率为</w:t>
            </w:r>
            <w:r>
              <w:rPr>
                <w:rFonts w:hint="eastAsia" w:ascii="宋体" w:hAnsi="宋体" w:cs="宋体"/>
                <w:color w:val="auto"/>
                <w:sz w:val="24"/>
                <w:highlight w:val="none"/>
                <w:u w:val="single"/>
              </w:rPr>
              <w:t>100%</w:t>
            </w:r>
            <w:r>
              <w:rPr>
                <w:rFonts w:hint="eastAsia" w:ascii="宋体" w:hAnsi="宋体" w:cs="宋体"/>
                <w:color w:val="auto"/>
                <w:sz w:val="24"/>
                <w:highlight w:val="none"/>
              </w:rPr>
              <w:t>，投标报价不得超过最高折扣率，否则作无效投标处理。</w:t>
            </w:r>
          </w:p>
        </w:tc>
      </w:tr>
      <w:tr w14:paraId="062DC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D9EC47A">
            <w:pPr>
              <w:pStyle w:val="23"/>
              <w:adjustRightInd w:val="0"/>
              <w:spacing w:line="480" w:lineRule="exact"/>
              <w:ind w:firstLine="0" w:firstLineChars="0"/>
              <w:jc w:val="center"/>
              <w:rPr>
                <w:rFonts w:asciiTheme="minorEastAsia" w:hAnsiTheme="minorEastAsia" w:eastAsiaTheme="minorEastAsia"/>
                <w:b/>
                <w:color w:val="auto"/>
                <w:sz w:val="24"/>
                <w:highlight w:val="none"/>
              </w:rPr>
            </w:pPr>
          </w:p>
        </w:tc>
        <w:tc>
          <w:tcPr>
            <w:tcW w:w="709" w:type="dxa"/>
            <w:vAlign w:val="center"/>
          </w:tcPr>
          <w:p w14:paraId="1166EDC2">
            <w:pPr>
              <w:pStyle w:val="23"/>
              <w:adjustRightInd w:val="0"/>
              <w:spacing w:line="480" w:lineRule="exact"/>
              <w:ind w:firstLine="0" w:firstLineChars="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w:t>
            </w:r>
          </w:p>
        </w:tc>
        <w:tc>
          <w:tcPr>
            <w:tcW w:w="1490" w:type="dxa"/>
            <w:vAlign w:val="center"/>
          </w:tcPr>
          <w:p w14:paraId="574BB172">
            <w:pPr>
              <w:pStyle w:val="23"/>
              <w:adjustRightInd w:val="0"/>
              <w:spacing w:line="480" w:lineRule="exact"/>
              <w:ind w:firstLine="0" w:firstLineChars="0"/>
              <w:jc w:val="center"/>
              <w:rPr>
                <w:rFonts w:asciiTheme="minorEastAsia" w:hAnsiTheme="minorEastAsia"/>
                <w:bCs/>
                <w:color w:val="auto"/>
                <w:sz w:val="24"/>
                <w:highlight w:val="none"/>
              </w:rPr>
            </w:pPr>
            <w:r>
              <w:rPr>
                <w:rFonts w:hint="eastAsia" w:hAnsi="宋体" w:cs="宋体"/>
                <w:bCs/>
                <w:color w:val="auto"/>
                <w:sz w:val="24"/>
                <w:highlight w:val="none"/>
              </w:rPr>
              <w:t>服务费标准及服务费的计算方法</w:t>
            </w:r>
          </w:p>
        </w:tc>
        <w:tc>
          <w:tcPr>
            <w:tcW w:w="6271" w:type="dxa"/>
          </w:tcPr>
          <w:p w14:paraId="365139DC">
            <w:pPr>
              <w:pStyle w:val="7"/>
              <w:spacing w:line="480" w:lineRule="exact"/>
              <w:rPr>
                <w:rFonts w:hAnsi="宋体" w:cs="宋体"/>
                <w:bCs/>
                <w:color w:val="auto"/>
                <w:sz w:val="24"/>
                <w:szCs w:val="24"/>
                <w:highlight w:val="none"/>
              </w:rPr>
            </w:pPr>
            <w:r>
              <w:rPr>
                <w:rFonts w:hint="eastAsia" w:hAnsi="宋体" w:cs="宋体"/>
                <w:bCs/>
                <w:color w:val="auto"/>
                <w:sz w:val="24"/>
                <w:szCs w:val="24"/>
                <w:highlight w:val="none"/>
              </w:rPr>
              <w:t>1、各星级对应的服务费标准如下：一星级机构，每人500元/月；二星级机构，每人600元/月；三星级机构，每人700元/月；四星级机构，每人800元/月；五星级机构，每人900元/月；对未定星级或星级评定期满而未重新申请定级的机构，每人400元/月。为确保社区康园中心正常运作和服务质量，解决机构基本的运营成本所需，</w:t>
            </w:r>
            <w:r>
              <w:rPr>
                <w:rFonts w:hint="eastAsia" w:hAnsi="宋体" w:cs="宋体"/>
                <w:bCs/>
                <w:color w:val="auto"/>
                <w:sz w:val="24"/>
                <w:szCs w:val="24"/>
                <w:highlight w:val="none"/>
                <w:lang w:eastAsia="zh-CN"/>
              </w:rPr>
              <w:t>如按上述标准</w:t>
            </w:r>
            <w:r>
              <w:rPr>
                <w:rFonts w:hint="eastAsia" w:hAnsi="宋体" w:cs="宋体"/>
                <w:bCs/>
                <w:color w:val="auto"/>
                <w:sz w:val="24"/>
                <w:szCs w:val="24"/>
                <w:highlight w:val="none"/>
              </w:rPr>
              <w:t>核算的配套总经费不足 5000 元/月的，按5000 元/月的标准配套基本经费。</w:t>
            </w:r>
          </w:p>
          <w:p w14:paraId="00FE43B9">
            <w:pPr>
              <w:pStyle w:val="7"/>
              <w:spacing w:line="480" w:lineRule="exact"/>
              <w:rPr>
                <w:rFonts w:hAnsi="宋体" w:cs="宋体"/>
                <w:bCs/>
                <w:color w:val="auto"/>
                <w:sz w:val="24"/>
                <w:szCs w:val="24"/>
                <w:highlight w:val="none"/>
              </w:rPr>
            </w:pPr>
            <w:r>
              <w:rPr>
                <w:rFonts w:hint="eastAsia" w:hAnsi="宋体" w:cs="宋体"/>
                <w:bCs/>
                <w:color w:val="auto"/>
                <w:sz w:val="24"/>
                <w:szCs w:val="24"/>
                <w:highlight w:val="none"/>
              </w:rPr>
              <w:t>2、</w:t>
            </w:r>
            <w:r>
              <w:rPr>
                <w:rFonts w:hint="eastAsia" w:hAnsi="宋体" w:cs="宋体"/>
                <w:color w:val="auto"/>
                <w:sz w:val="24"/>
                <w:highlight w:val="none"/>
              </w:rPr>
              <w:t>当月社区康园管理服务费</w:t>
            </w:r>
            <w:r>
              <w:rPr>
                <w:rFonts w:hint="eastAsia" w:hAnsi="宋体" w:cs="宋体"/>
                <w:bCs/>
                <w:color w:val="auto"/>
                <w:sz w:val="24"/>
                <w:szCs w:val="24"/>
                <w:highlight w:val="none"/>
              </w:rPr>
              <w:t>计算方法如下：</w:t>
            </w:r>
          </w:p>
          <w:p w14:paraId="788DC425">
            <w:pPr>
              <w:pStyle w:val="7"/>
              <w:spacing w:line="480" w:lineRule="exact"/>
              <w:rPr>
                <w:rFonts w:hAnsi="宋体" w:cs="宋体"/>
                <w:color w:val="auto"/>
                <w:sz w:val="24"/>
                <w:highlight w:val="none"/>
              </w:rPr>
            </w:pPr>
            <w:r>
              <w:rPr>
                <w:rFonts w:hint="eastAsia" w:hAnsi="宋体" w:cs="宋体"/>
                <w:color w:val="auto"/>
                <w:sz w:val="24"/>
                <w:highlight w:val="none"/>
              </w:rPr>
              <w:t>（1）当月社区康园管理服务费为当月所有各社区康园每月管理服务费之和。</w:t>
            </w:r>
          </w:p>
          <w:p w14:paraId="7734B3B6">
            <w:pPr>
              <w:pStyle w:val="7"/>
              <w:spacing w:line="480" w:lineRule="exact"/>
              <w:rPr>
                <w:rFonts w:hAnsi="宋体" w:cs="宋体"/>
                <w:bCs/>
                <w:color w:val="auto"/>
                <w:sz w:val="24"/>
                <w:szCs w:val="24"/>
                <w:highlight w:val="none"/>
              </w:rPr>
            </w:pPr>
            <w:r>
              <w:rPr>
                <w:rFonts w:hint="eastAsia" w:hAnsi="宋体" w:cs="宋体"/>
                <w:color w:val="auto"/>
                <w:sz w:val="24"/>
                <w:highlight w:val="none"/>
              </w:rPr>
              <w:t>（2）单个社区康园每月管理服务费为相应社区康园所有学员当月实际服务费之和，按实际出勤人数结算。</w:t>
            </w:r>
          </w:p>
          <w:p w14:paraId="5317DD2E">
            <w:pPr>
              <w:pStyle w:val="7"/>
              <w:spacing w:line="480" w:lineRule="exact"/>
              <w:rPr>
                <w:rFonts w:hAnsi="宋体" w:cs="宋体"/>
                <w:bCs/>
                <w:color w:val="auto"/>
                <w:sz w:val="24"/>
                <w:szCs w:val="24"/>
                <w:highlight w:val="none"/>
              </w:rPr>
            </w:pPr>
            <w:r>
              <w:rPr>
                <w:rFonts w:hint="eastAsia" w:hAnsi="宋体" w:cs="宋体"/>
                <w:bCs/>
                <w:color w:val="auto"/>
                <w:sz w:val="24"/>
                <w:szCs w:val="24"/>
                <w:highlight w:val="none"/>
              </w:rPr>
              <w:t>（3）</w:t>
            </w:r>
            <w:r>
              <w:rPr>
                <w:rFonts w:hint="eastAsia" w:hAnsi="宋体" w:cs="宋体"/>
                <w:color w:val="auto"/>
                <w:sz w:val="24"/>
                <w:highlight w:val="none"/>
              </w:rPr>
              <w:t>各相应社区康园每学员当月实际服务费</w:t>
            </w:r>
            <w:r>
              <w:rPr>
                <w:rFonts w:hint="eastAsia" w:hAnsi="宋体" w:cs="宋体"/>
                <w:bCs/>
                <w:color w:val="auto"/>
                <w:sz w:val="24"/>
                <w:szCs w:val="24"/>
                <w:highlight w:val="none"/>
              </w:rPr>
              <w:t>=星级对应每学员服务费标准÷当月应出勤天数×实际出勤天数×中标折扣率。</w:t>
            </w:r>
          </w:p>
          <w:p w14:paraId="5E5D04AC">
            <w:pPr>
              <w:pStyle w:val="7"/>
              <w:spacing w:line="480" w:lineRule="exact"/>
              <w:rPr>
                <w:rFonts w:hAnsi="宋体" w:cs="宋体"/>
                <w:bCs/>
                <w:color w:val="auto"/>
                <w:sz w:val="24"/>
                <w:szCs w:val="24"/>
                <w:highlight w:val="none"/>
              </w:rPr>
            </w:pPr>
            <w:r>
              <w:rPr>
                <w:rFonts w:hint="eastAsia" w:hAnsi="宋体" w:cs="宋体"/>
                <w:bCs/>
                <w:color w:val="auto"/>
                <w:sz w:val="24"/>
                <w:szCs w:val="24"/>
                <w:highlight w:val="none"/>
              </w:rPr>
              <w:t>（4）若考核标准有约定的，从其约定。</w:t>
            </w:r>
          </w:p>
          <w:p w14:paraId="38B3C5CD">
            <w:pPr>
              <w:pStyle w:val="7"/>
              <w:spacing w:line="480" w:lineRule="exact"/>
              <w:rPr>
                <w:rFonts w:hAnsi="宋体" w:cs="宋体"/>
                <w:bCs/>
                <w:color w:val="auto"/>
                <w:sz w:val="24"/>
                <w:szCs w:val="24"/>
                <w:highlight w:val="none"/>
              </w:rPr>
            </w:pPr>
            <w:r>
              <w:rPr>
                <w:rFonts w:hint="eastAsia" w:hAnsi="宋体" w:cs="宋体"/>
                <w:bCs/>
                <w:color w:val="auto"/>
                <w:sz w:val="24"/>
                <w:szCs w:val="24"/>
                <w:highlight w:val="none"/>
              </w:rPr>
              <w:t>注：当月应出勤天数=当月日历天数-法定节假日天数-因当地天气原因停园天数（根据气象部门发布的天气预报信息：如台风蓝色预警信号或以上、暴雨蓝色预警信号或以上自行停园；如雷阵雨或大雨以上的视当日实际天气情况，如确实影响学员出行安全的，报告采购人管理人员同意后可停园，但对已到园的学员须正常提供服务，待天气稳定方可离园）。采购人因应天气或其他工作安排通知停园天数（不含采购人要求中标供应商整改停园的天数），但除非采购人有明确安排，原则上当月应出勤天数不应少于12天。学员到园活动时间至少3小时方可认定为出勤一天。</w:t>
            </w:r>
          </w:p>
        </w:tc>
      </w:tr>
      <w:tr w14:paraId="2CF7F5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F4D237D">
            <w:pPr>
              <w:pStyle w:val="23"/>
              <w:adjustRightInd w:val="0"/>
              <w:spacing w:line="480" w:lineRule="exact"/>
              <w:ind w:firstLine="0" w:firstLineChars="0"/>
              <w:jc w:val="center"/>
              <w:rPr>
                <w:rFonts w:asciiTheme="minorEastAsia" w:hAnsiTheme="minorEastAsia" w:eastAsiaTheme="minorEastAsia"/>
                <w:b/>
                <w:color w:val="auto"/>
                <w:sz w:val="24"/>
                <w:highlight w:val="none"/>
              </w:rPr>
            </w:pPr>
          </w:p>
        </w:tc>
        <w:tc>
          <w:tcPr>
            <w:tcW w:w="709" w:type="dxa"/>
            <w:vAlign w:val="center"/>
          </w:tcPr>
          <w:p w14:paraId="1FA950C5">
            <w:pPr>
              <w:pStyle w:val="23"/>
              <w:adjustRightInd w:val="0"/>
              <w:spacing w:line="480" w:lineRule="exact"/>
              <w:ind w:firstLine="0" w:firstLineChars="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w:t>
            </w:r>
          </w:p>
        </w:tc>
        <w:tc>
          <w:tcPr>
            <w:tcW w:w="1490" w:type="dxa"/>
            <w:vAlign w:val="center"/>
          </w:tcPr>
          <w:p w14:paraId="1AB2CFEE">
            <w:pPr>
              <w:pStyle w:val="23"/>
              <w:adjustRightInd w:val="0"/>
              <w:spacing w:line="480" w:lineRule="exact"/>
              <w:ind w:firstLine="0" w:firstLineChars="0"/>
              <w:jc w:val="center"/>
              <w:rPr>
                <w:rFonts w:hAnsi="宋体" w:cs="宋体"/>
                <w:bCs/>
                <w:color w:val="auto"/>
                <w:sz w:val="24"/>
                <w:highlight w:val="none"/>
              </w:rPr>
            </w:pPr>
            <w:r>
              <w:rPr>
                <w:rFonts w:hint="eastAsia" w:hAnsi="宋体" w:cs="宋体"/>
                <w:bCs/>
                <w:color w:val="auto"/>
                <w:sz w:val="24"/>
                <w:highlight w:val="none"/>
              </w:rPr>
              <w:t>合同的签订</w:t>
            </w:r>
          </w:p>
        </w:tc>
        <w:tc>
          <w:tcPr>
            <w:tcW w:w="6271" w:type="dxa"/>
          </w:tcPr>
          <w:p w14:paraId="30C7B9C4">
            <w:pPr>
              <w:pStyle w:val="7"/>
              <w:spacing w:line="480" w:lineRule="exact"/>
              <w:rPr>
                <w:rFonts w:hAnsi="宋体" w:cs="宋体"/>
                <w:bCs/>
                <w:color w:val="auto"/>
                <w:sz w:val="24"/>
                <w:szCs w:val="24"/>
                <w:highlight w:val="none"/>
              </w:rPr>
            </w:pPr>
            <w:r>
              <w:rPr>
                <w:rFonts w:hint="eastAsia" w:hAnsi="宋体" w:cs="宋体"/>
                <w:color w:val="auto"/>
                <w:sz w:val="24"/>
                <w:highlight w:val="none"/>
              </w:rPr>
              <w:t>服务合同由采购人与中标供应商共同签订。采购人根据中标结果与中标供应商签订第一年度服务合同；第二、三年度服务合同按上一年度考核结果，结合当年采购预算情况，且符合续签条件的，与中标供应商续签相应年度的服务合同，续签次数不超过两次；</w:t>
            </w:r>
            <w:r>
              <w:rPr>
                <w:rFonts w:hint="eastAsia" w:hAnsi="宋体" w:cs="宋体"/>
                <w:color w:val="auto"/>
                <w:sz w:val="24"/>
                <w:szCs w:val="24"/>
                <w:highlight w:val="none"/>
              </w:rPr>
              <w:t>若年度考核不合格的不予续签下一年度服务合同。</w:t>
            </w:r>
          </w:p>
        </w:tc>
      </w:tr>
      <w:tr w14:paraId="43B089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669441C">
            <w:pPr>
              <w:pStyle w:val="23"/>
              <w:adjustRightInd w:val="0"/>
              <w:spacing w:line="480" w:lineRule="exact"/>
              <w:ind w:firstLine="0" w:firstLineChars="0"/>
              <w:jc w:val="center"/>
              <w:rPr>
                <w:rFonts w:asciiTheme="minorEastAsia" w:hAnsiTheme="minorEastAsia" w:eastAsiaTheme="minorEastAsia"/>
                <w:b/>
                <w:color w:val="auto"/>
                <w:sz w:val="24"/>
                <w:highlight w:val="none"/>
              </w:rPr>
            </w:pPr>
          </w:p>
        </w:tc>
        <w:tc>
          <w:tcPr>
            <w:tcW w:w="709" w:type="dxa"/>
            <w:vAlign w:val="center"/>
          </w:tcPr>
          <w:p w14:paraId="7EB944A3">
            <w:pPr>
              <w:pStyle w:val="23"/>
              <w:adjustRightInd w:val="0"/>
              <w:spacing w:line="480" w:lineRule="exact"/>
              <w:ind w:firstLine="0" w:firstLineChars="0"/>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1490" w:type="dxa"/>
            <w:vAlign w:val="center"/>
          </w:tcPr>
          <w:p w14:paraId="74C8406D">
            <w:pPr>
              <w:pStyle w:val="23"/>
              <w:adjustRightInd w:val="0"/>
              <w:spacing w:line="480" w:lineRule="exact"/>
              <w:ind w:firstLine="0" w:firstLineChars="0"/>
              <w:jc w:val="center"/>
              <w:rPr>
                <w:rFonts w:ascii="宋体" w:hAnsi="宋体" w:cs="宋体"/>
                <w:bCs/>
                <w:color w:val="auto"/>
                <w:sz w:val="24"/>
                <w:highlight w:val="none"/>
              </w:rPr>
            </w:pPr>
            <w:r>
              <w:rPr>
                <w:rFonts w:hint="eastAsia" w:ascii="宋体" w:hAnsi="宋体" w:cs="宋体"/>
                <w:color w:val="auto"/>
                <w:sz w:val="24"/>
                <w:highlight w:val="none"/>
              </w:rPr>
              <w:t>违约责任约定</w:t>
            </w:r>
          </w:p>
        </w:tc>
        <w:tc>
          <w:tcPr>
            <w:tcW w:w="6271" w:type="dxa"/>
          </w:tcPr>
          <w:p w14:paraId="5C1155CE">
            <w:pPr>
              <w:pStyle w:val="7"/>
              <w:spacing w:line="480" w:lineRule="exact"/>
              <w:rPr>
                <w:rFonts w:hint="eastAsia" w:hAnsi="宋体" w:eastAsia="宋体" w:cs="宋体"/>
                <w:bCs/>
                <w:strike/>
                <w:color w:val="auto"/>
                <w:sz w:val="24"/>
                <w:szCs w:val="24"/>
                <w:highlight w:val="none"/>
                <w:lang w:eastAsia="zh-CN"/>
              </w:rPr>
            </w:pPr>
            <w:r>
              <w:rPr>
                <w:rFonts w:hint="eastAsia" w:hAnsi="宋体" w:cs="宋体"/>
                <w:bCs/>
                <w:color w:val="auto"/>
                <w:sz w:val="24"/>
                <w:szCs w:val="24"/>
                <w:highlight w:val="none"/>
              </w:rPr>
              <w:t>1、在服务期内，服务费标准如上级政策或规范文件有调整，按调整后的标准执行</w:t>
            </w:r>
            <w:r>
              <w:rPr>
                <w:rFonts w:hint="eastAsia" w:hAnsi="宋体" w:cs="宋体"/>
                <w:bCs/>
                <w:color w:val="auto"/>
                <w:sz w:val="24"/>
                <w:szCs w:val="24"/>
                <w:highlight w:val="none"/>
                <w:lang w:eastAsia="zh-CN"/>
              </w:rPr>
              <w:t>。</w:t>
            </w:r>
          </w:p>
          <w:p w14:paraId="2E4534CC">
            <w:pPr>
              <w:pStyle w:val="7"/>
              <w:spacing w:line="480" w:lineRule="exact"/>
              <w:rPr>
                <w:rFonts w:hAnsi="宋体" w:cs="宋体"/>
                <w:color w:val="auto"/>
                <w:sz w:val="24"/>
                <w:highlight w:val="none"/>
              </w:rPr>
            </w:pPr>
            <w:r>
              <w:rPr>
                <w:rFonts w:hint="eastAsia" w:hAnsi="宋体" w:cs="宋体"/>
                <w:color w:val="auto"/>
                <w:sz w:val="24"/>
                <w:highlight w:val="none"/>
              </w:rPr>
              <w:t>2、除有不可逆的客观原因外，如中标</w:t>
            </w:r>
            <w:r>
              <w:rPr>
                <w:rFonts w:hint="eastAsia" w:hAnsi="宋体" w:cs="宋体"/>
                <w:bCs/>
                <w:color w:val="auto"/>
                <w:sz w:val="24"/>
                <w:szCs w:val="24"/>
                <w:highlight w:val="none"/>
              </w:rPr>
              <w:t>供应商</w:t>
            </w:r>
            <w:r>
              <w:rPr>
                <w:rFonts w:hint="eastAsia" w:hAnsi="宋体" w:cs="宋体"/>
                <w:color w:val="auto"/>
                <w:sz w:val="24"/>
                <w:highlight w:val="none"/>
              </w:rPr>
              <w:t>未能完成采购人年度既定工作任务的，采购人有权作出扣减中标</w:t>
            </w:r>
            <w:r>
              <w:rPr>
                <w:rFonts w:hint="eastAsia" w:hAnsi="宋体" w:cs="宋体"/>
                <w:bCs/>
                <w:color w:val="auto"/>
                <w:sz w:val="24"/>
                <w:szCs w:val="24"/>
                <w:highlight w:val="none"/>
              </w:rPr>
              <w:t>供应商</w:t>
            </w:r>
            <w:r>
              <w:rPr>
                <w:rFonts w:hint="eastAsia" w:hAnsi="宋体" w:cs="宋体"/>
                <w:color w:val="auto"/>
                <w:sz w:val="24"/>
                <w:highlight w:val="none"/>
              </w:rPr>
              <w:t>服务费的处理。</w:t>
            </w:r>
          </w:p>
          <w:p w14:paraId="75572CDC">
            <w:pPr>
              <w:pStyle w:val="7"/>
              <w:spacing w:line="480" w:lineRule="exact"/>
              <w:rPr>
                <w:rFonts w:hAnsi="宋体" w:cs="宋体"/>
                <w:color w:val="auto"/>
                <w:sz w:val="24"/>
                <w:highlight w:val="none"/>
              </w:rPr>
            </w:pPr>
            <w:r>
              <w:rPr>
                <w:rFonts w:hint="eastAsia" w:hAnsi="宋体" w:cs="宋体"/>
                <w:color w:val="auto"/>
                <w:sz w:val="24"/>
                <w:highlight w:val="none"/>
              </w:rPr>
              <w:t>3、采购人将对提交的结算资料进行核实，如发现有虚报服务人数、服务时间，或未按合同提供服务等行为，将取消支付当月服务费，并提出整改意见。情节严重或服务期第二次发现同类问题，采购人有权直接取消该中标供应商的服务资格，解除服务合同，并不续签下一年度的服务合同。</w:t>
            </w:r>
          </w:p>
          <w:p w14:paraId="0443B99B">
            <w:pPr>
              <w:pStyle w:val="7"/>
              <w:spacing w:line="480" w:lineRule="exact"/>
              <w:rPr>
                <w:rFonts w:hAnsi="宋体" w:cs="宋体"/>
                <w:color w:val="auto"/>
                <w:sz w:val="24"/>
                <w:highlight w:val="none"/>
              </w:rPr>
            </w:pPr>
            <w:r>
              <w:rPr>
                <w:rFonts w:hint="eastAsia" w:hAnsi="宋体" w:cs="宋体"/>
                <w:color w:val="auto"/>
                <w:sz w:val="24"/>
                <w:highlight w:val="none"/>
              </w:rPr>
              <w:t>4、如因社区康园中心的政策改变或项目资金预算改变等原因，导致提早结束服务期限的，采购人将提早1个月知会中标供应商，且采购人无需承担任何违约责任。</w:t>
            </w:r>
          </w:p>
          <w:p w14:paraId="2871A7C9">
            <w:pPr>
              <w:pStyle w:val="7"/>
              <w:spacing w:line="480" w:lineRule="exact"/>
              <w:rPr>
                <w:rFonts w:hAnsi="宋体" w:cs="宋体"/>
                <w:color w:val="auto"/>
                <w:sz w:val="24"/>
                <w:highlight w:val="none"/>
              </w:rPr>
            </w:pPr>
            <w:r>
              <w:rPr>
                <w:rFonts w:hint="eastAsia" w:hAnsi="宋体" w:cs="宋体"/>
                <w:color w:val="auto"/>
                <w:sz w:val="24"/>
                <w:highlight w:val="none"/>
              </w:rPr>
              <w:t>5、中标供应商如因运作资金、人员变动等自身原因导致无法继续履行本期服务的，应提前一个月向采购人提出申请，经采购人同意可提前中止服务期限，双方协商解除合同，中标供应商无需承担相应违约责任。</w:t>
            </w:r>
          </w:p>
        </w:tc>
      </w:tr>
    </w:tbl>
    <w:p w14:paraId="4B3C6677">
      <w:pPr>
        <w:pStyle w:val="23"/>
        <w:adjustRightInd w:val="0"/>
        <w:spacing w:line="480" w:lineRule="exact"/>
        <w:ind w:firstLine="482"/>
        <w:jc w:val="left"/>
        <w:rPr>
          <w:rFonts w:ascii="宋体" w:hAnsi="宋体" w:cs="宋体"/>
          <w:b/>
          <w:color w:val="auto"/>
          <w:sz w:val="24"/>
          <w:highlight w:val="none"/>
        </w:rPr>
      </w:pPr>
    </w:p>
    <w:p w14:paraId="4F5C97CE">
      <w:pPr>
        <w:pStyle w:val="23"/>
        <w:adjustRightInd w:val="0"/>
        <w:spacing w:line="48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2.技术标准与要求</w:t>
      </w:r>
    </w:p>
    <w:tbl>
      <w:tblPr>
        <w:tblStyle w:val="14"/>
        <w:tblW w:w="105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
        <w:gridCol w:w="1276"/>
        <w:gridCol w:w="1276"/>
        <w:gridCol w:w="1417"/>
        <w:gridCol w:w="709"/>
        <w:gridCol w:w="709"/>
        <w:gridCol w:w="1275"/>
        <w:gridCol w:w="1276"/>
        <w:gridCol w:w="1003"/>
        <w:gridCol w:w="1143"/>
      </w:tblGrid>
      <w:tr w14:paraId="264CC6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3" w:hRule="atLeast"/>
          <w:jc w:val="center"/>
        </w:trPr>
        <w:tc>
          <w:tcPr>
            <w:tcW w:w="426" w:type="dxa"/>
            <w:vAlign w:val="center"/>
          </w:tcPr>
          <w:p w14:paraId="01791364">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76" w:type="dxa"/>
            <w:vAlign w:val="center"/>
          </w:tcPr>
          <w:p w14:paraId="7C2F91B1">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核心产品（“△”）</w:t>
            </w:r>
          </w:p>
        </w:tc>
        <w:tc>
          <w:tcPr>
            <w:tcW w:w="1276" w:type="dxa"/>
            <w:vAlign w:val="center"/>
          </w:tcPr>
          <w:p w14:paraId="54C57F3E">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品目名称</w:t>
            </w:r>
          </w:p>
        </w:tc>
        <w:tc>
          <w:tcPr>
            <w:tcW w:w="1417" w:type="dxa"/>
            <w:vAlign w:val="center"/>
          </w:tcPr>
          <w:p w14:paraId="15DBFA6E">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标的名称</w:t>
            </w:r>
          </w:p>
        </w:tc>
        <w:tc>
          <w:tcPr>
            <w:tcW w:w="709" w:type="dxa"/>
            <w:vAlign w:val="center"/>
          </w:tcPr>
          <w:p w14:paraId="053FE9DD">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709" w:type="dxa"/>
            <w:vAlign w:val="center"/>
          </w:tcPr>
          <w:p w14:paraId="70F47D43">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75" w:type="dxa"/>
            <w:vAlign w:val="center"/>
          </w:tcPr>
          <w:p w14:paraId="31A38792">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分项预算单价（元）</w:t>
            </w:r>
          </w:p>
        </w:tc>
        <w:tc>
          <w:tcPr>
            <w:tcW w:w="1276" w:type="dxa"/>
            <w:vAlign w:val="center"/>
          </w:tcPr>
          <w:p w14:paraId="04C6DA3C">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分项预算总价（元）</w:t>
            </w:r>
          </w:p>
        </w:tc>
        <w:tc>
          <w:tcPr>
            <w:tcW w:w="1003" w:type="dxa"/>
            <w:vAlign w:val="center"/>
          </w:tcPr>
          <w:p w14:paraId="60FB477F">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所属行业</w:t>
            </w:r>
          </w:p>
        </w:tc>
        <w:tc>
          <w:tcPr>
            <w:tcW w:w="1143" w:type="dxa"/>
            <w:vAlign w:val="center"/>
          </w:tcPr>
          <w:p w14:paraId="012079C7">
            <w:pPr>
              <w:pStyle w:val="23"/>
              <w:adjustRightInd w:val="0"/>
              <w:spacing w:line="480" w:lineRule="exact"/>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技术要求</w:t>
            </w:r>
          </w:p>
        </w:tc>
      </w:tr>
      <w:tr w14:paraId="6BE24A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9" w:hRule="atLeast"/>
          <w:jc w:val="center"/>
        </w:trPr>
        <w:tc>
          <w:tcPr>
            <w:tcW w:w="426" w:type="dxa"/>
            <w:vAlign w:val="center"/>
          </w:tcPr>
          <w:p w14:paraId="7BBF98C7">
            <w:pPr>
              <w:pStyle w:val="23"/>
              <w:adjustRightInd w:val="0"/>
              <w:spacing w:line="480" w:lineRule="exact"/>
              <w:ind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1276" w:type="dxa"/>
            <w:vAlign w:val="center"/>
          </w:tcPr>
          <w:p w14:paraId="6FE65549">
            <w:pPr>
              <w:pStyle w:val="23"/>
              <w:adjustRightInd w:val="0"/>
              <w:spacing w:line="480" w:lineRule="exact"/>
              <w:ind w:firstLine="0" w:firstLineChars="0"/>
              <w:jc w:val="center"/>
              <w:rPr>
                <w:rFonts w:ascii="宋体" w:hAnsi="宋体" w:cs="宋体"/>
                <w:color w:val="auto"/>
                <w:sz w:val="24"/>
                <w:highlight w:val="none"/>
              </w:rPr>
            </w:pPr>
          </w:p>
        </w:tc>
        <w:tc>
          <w:tcPr>
            <w:tcW w:w="1276" w:type="dxa"/>
            <w:vAlign w:val="center"/>
          </w:tcPr>
          <w:p w14:paraId="02DFA8F7">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残疾人服务</w:t>
            </w:r>
          </w:p>
        </w:tc>
        <w:tc>
          <w:tcPr>
            <w:tcW w:w="1417" w:type="dxa"/>
            <w:vAlign w:val="center"/>
          </w:tcPr>
          <w:p w14:paraId="765FA6F7">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sz w:val="24"/>
                <w:szCs w:val="24"/>
                <w:highlight w:val="none"/>
              </w:rPr>
              <w:t>开平市社区康园中心运作和管理服务</w:t>
            </w:r>
          </w:p>
        </w:tc>
        <w:tc>
          <w:tcPr>
            <w:tcW w:w="709" w:type="dxa"/>
            <w:vAlign w:val="center"/>
          </w:tcPr>
          <w:p w14:paraId="0CC5752D">
            <w:pPr>
              <w:jc w:val="center"/>
              <w:rPr>
                <w:rFonts w:ascii="宋体" w:hAnsi="宋体" w:cs="宋体"/>
                <w:color w:val="auto"/>
                <w:highlight w:val="none"/>
              </w:rPr>
            </w:pPr>
            <w:r>
              <w:rPr>
                <w:rFonts w:hint="eastAsia" w:ascii="宋体" w:hAnsi="宋体" w:cs="宋体"/>
                <w:color w:val="auto"/>
                <w:kern w:val="2"/>
                <w:sz w:val="24"/>
                <w:szCs w:val="24"/>
                <w:highlight w:val="none"/>
              </w:rPr>
              <w:t>项</w:t>
            </w:r>
          </w:p>
        </w:tc>
        <w:tc>
          <w:tcPr>
            <w:tcW w:w="709" w:type="dxa"/>
            <w:vAlign w:val="center"/>
          </w:tcPr>
          <w:p w14:paraId="2CF2322D">
            <w:pPr>
              <w:pStyle w:val="23"/>
              <w:adjustRightInd w:val="0"/>
              <w:spacing w:line="480" w:lineRule="exact"/>
              <w:ind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1275" w:type="dxa"/>
            <w:vAlign w:val="center"/>
          </w:tcPr>
          <w:p w14:paraId="2179585A">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sz w:val="24"/>
                <w:szCs w:val="24"/>
                <w:highlight w:val="none"/>
              </w:rPr>
              <w:t>1992000.00</w:t>
            </w:r>
          </w:p>
        </w:tc>
        <w:tc>
          <w:tcPr>
            <w:tcW w:w="1276" w:type="dxa"/>
            <w:vAlign w:val="center"/>
          </w:tcPr>
          <w:p w14:paraId="6FC982D7">
            <w:pPr>
              <w:adjustRightInd/>
              <w:spacing w:line="480" w:lineRule="exact"/>
              <w:jc w:val="center"/>
              <w:textAlignment w:val="auto"/>
              <w:rPr>
                <w:rFonts w:ascii="宋体" w:hAnsi="宋体" w:cs="宋体"/>
                <w:color w:val="auto"/>
                <w:kern w:val="2"/>
                <w:sz w:val="24"/>
                <w:szCs w:val="24"/>
                <w:highlight w:val="none"/>
              </w:rPr>
            </w:pPr>
            <w:r>
              <w:rPr>
                <w:rFonts w:hint="eastAsia" w:ascii="宋体" w:hAnsi="宋体" w:cs="宋体"/>
                <w:color w:val="auto"/>
                <w:sz w:val="24"/>
                <w:szCs w:val="24"/>
                <w:highlight w:val="none"/>
              </w:rPr>
              <w:t>1992000.00</w:t>
            </w:r>
          </w:p>
        </w:tc>
        <w:tc>
          <w:tcPr>
            <w:tcW w:w="1003" w:type="dxa"/>
            <w:vAlign w:val="center"/>
          </w:tcPr>
          <w:p w14:paraId="4E09D81A">
            <w:pPr>
              <w:pStyle w:val="23"/>
              <w:adjustRightInd w:val="0"/>
              <w:spacing w:line="480" w:lineRule="exact"/>
              <w:ind w:firstLine="0" w:firstLineChars="0"/>
              <w:jc w:val="center"/>
              <w:rPr>
                <w:rFonts w:ascii="宋体" w:hAnsi="宋体" w:cs="宋体"/>
                <w:color w:val="auto"/>
                <w:sz w:val="24"/>
                <w:highlight w:val="none"/>
              </w:rPr>
            </w:pPr>
            <w:r>
              <w:rPr>
                <w:rFonts w:hint="eastAsia" w:ascii="宋体" w:hAnsi="宋体" w:cs="宋体"/>
                <w:color w:val="auto"/>
                <w:sz w:val="24"/>
                <w:highlight w:val="none"/>
              </w:rPr>
              <w:t>其他未列明行业</w:t>
            </w:r>
          </w:p>
        </w:tc>
        <w:tc>
          <w:tcPr>
            <w:tcW w:w="1143" w:type="dxa"/>
            <w:vAlign w:val="center"/>
          </w:tcPr>
          <w:p w14:paraId="1F90561B">
            <w:pPr>
              <w:pStyle w:val="23"/>
              <w:adjustRightInd w:val="0"/>
              <w:spacing w:line="480" w:lineRule="exact"/>
              <w:ind w:firstLine="0" w:firstLineChars="0"/>
              <w:jc w:val="center"/>
              <w:rPr>
                <w:rFonts w:ascii="宋体" w:hAnsi="宋体" w:cs="宋体"/>
                <w:color w:val="auto"/>
                <w:sz w:val="24"/>
                <w:highlight w:val="none"/>
              </w:rPr>
            </w:pPr>
            <w:r>
              <w:rPr>
                <w:rFonts w:hint="eastAsia" w:ascii="宋体" w:hAnsi="宋体" w:cs="宋体"/>
                <w:color w:val="auto"/>
                <w:sz w:val="24"/>
                <w:highlight w:val="none"/>
              </w:rPr>
              <w:t>详见附表一</w:t>
            </w:r>
          </w:p>
        </w:tc>
      </w:tr>
    </w:tbl>
    <w:p w14:paraId="1DF788F6">
      <w:pPr>
        <w:pStyle w:val="23"/>
        <w:adjustRightInd w:val="0"/>
        <w:spacing w:line="48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附表一：开平市社区康园中心运作和管理服务</w:t>
      </w:r>
    </w:p>
    <w:p w14:paraId="0B1FB989">
      <w:pPr>
        <w:pStyle w:val="7"/>
        <w:spacing w:line="480" w:lineRule="exact"/>
        <w:ind w:firstLine="480" w:firstLineChars="200"/>
        <w:rPr>
          <w:rFonts w:hAnsi="宋体" w:cs="宋体"/>
          <w:bCs/>
          <w:color w:val="auto"/>
          <w:sz w:val="24"/>
          <w:highlight w:val="none"/>
        </w:rPr>
      </w:pPr>
      <w:r>
        <w:rPr>
          <w:rFonts w:hint="eastAsia" w:hAnsi="宋体" w:cs="宋体"/>
          <w:color w:val="auto"/>
          <w:sz w:val="24"/>
          <w:highlight w:val="none"/>
        </w:rPr>
        <w:t>具体</w:t>
      </w:r>
      <w:r>
        <w:rPr>
          <w:rFonts w:hint="eastAsia" w:hAnsi="宋体" w:cs="宋体"/>
          <w:bCs/>
          <w:color w:val="auto"/>
          <w:sz w:val="24"/>
          <w:highlight w:val="none"/>
        </w:rPr>
        <w:t>详见第二章 采购需求中“一、项目概况”、“二、项目总体要求”、“三、中标服务机构基本要求”、“四、项目服务内容要求”、“五、项目服务指标要求”的内容。</w:t>
      </w:r>
    </w:p>
    <w:p w14:paraId="0E05E1B6">
      <w:pPr>
        <w:pStyle w:val="7"/>
        <w:spacing w:line="480" w:lineRule="exact"/>
        <w:ind w:firstLine="480" w:firstLineChars="200"/>
        <w:rPr>
          <w:rFonts w:hAnsi="宋体" w:cs="宋体"/>
          <w:color w:val="auto"/>
          <w:sz w:val="24"/>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56"/>
      </w:tblGrid>
      <w:tr w14:paraId="508A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184A00E">
            <w:pPr>
              <w:pStyle w:val="23"/>
              <w:adjustRightInd w:val="0"/>
              <w:spacing w:line="480" w:lineRule="exact"/>
              <w:ind w:firstLine="0" w:firstLineChars="0"/>
              <w:jc w:val="center"/>
              <w:rPr>
                <w:rFonts w:ascii="宋体" w:hAnsi="宋体" w:cs="宋体"/>
                <w:color w:val="auto"/>
                <w:sz w:val="24"/>
                <w:highlight w:val="none"/>
              </w:rPr>
            </w:pPr>
            <w:r>
              <w:rPr>
                <w:rFonts w:hint="eastAsia" w:ascii="宋体" w:hAnsi="宋体" w:cs="宋体"/>
                <w:color w:val="auto"/>
                <w:sz w:val="24"/>
                <w:highlight w:val="none"/>
              </w:rPr>
              <w:t>说明</w:t>
            </w:r>
          </w:p>
        </w:tc>
        <w:tc>
          <w:tcPr>
            <w:tcW w:w="8488" w:type="dxa"/>
            <w:vAlign w:val="center"/>
          </w:tcPr>
          <w:p w14:paraId="4160C405">
            <w:pPr>
              <w:pStyle w:val="23"/>
              <w:spacing w:line="480" w:lineRule="exact"/>
              <w:ind w:firstLine="0" w:firstLineChars="0"/>
              <w:jc w:val="center"/>
              <w:rPr>
                <w:rFonts w:ascii="宋体" w:hAnsi="宋体" w:cs="宋体"/>
                <w:color w:val="auto"/>
                <w:sz w:val="24"/>
                <w:highlight w:val="none"/>
              </w:rPr>
            </w:pPr>
            <w:r>
              <w:rPr>
                <w:rFonts w:hint="eastAsia" w:ascii="宋体" w:hAnsi="宋体" w:cs="宋体"/>
                <w:color w:val="auto"/>
                <w:sz w:val="24"/>
                <w:highlight w:val="none"/>
              </w:rPr>
              <w:t>打“★”号条款为实质性条款，若有任何一条负偏离或不满足则导致投标（响应）无效。打“▲”号条款为重要技术参数（如有），若有部分“▲”条款未响应或不满足，将根据评审要求影响其得分，但不作为无效投标（响应）条款。</w:t>
            </w:r>
          </w:p>
        </w:tc>
      </w:tr>
    </w:tbl>
    <w:p w14:paraId="0F7D2100">
      <w:pPr>
        <w:pStyle w:val="7"/>
        <w:keepNext w:val="0"/>
        <w:keepLines w:val="0"/>
        <w:pageBreakBefore w:val="0"/>
        <w:tabs>
          <w:tab w:val="left" w:pos="945"/>
          <w:tab w:val="left" w:pos="1050"/>
        </w:tabs>
        <w:kinsoku/>
        <w:wordWrap/>
        <w:overflowPunct/>
        <w:topLinePunct w:val="0"/>
        <w:bidi w:val="0"/>
        <w:snapToGrid/>
        <w:spacing w:line="480" w:lineRule="exact"/>
        <w:ind w:left="0" w:leftChars="0" w:firstLine="480" w:firstLineChars="200"/>
        <w:textAlignment w:val="auto"/>
        <w:rPr>
          <w:rFonts w:hint="default" w:hAnsi="宋体" w:cs="宋体"/>
          <w:color w:val="auto"/>
          <w:kern w:val="0"/>
          <w:sz w:val="24"/>
          <w:szCs w:val="24"/>
          <w:highlight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AA844">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5D7885A">
                <w:pPr>
                  <w:pStyle w:val="10"/>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2"/>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
    <w:nsid w:val="4428FCB3"/>
    <w:multiLevelType w:val="singleLevel"/>
    <w:tmpl w:val="4428FCB3"/>
    <w:lvl w:ilvl="0" w:tentative="0">
      <w:start w:val="1"/>
      <w:numFmt w:val="decimal"/>
      <w:suff w:val="nothing"/>
      <w:lvlText w:val="%1、"/>
      <w:lvlJc w:val="left"/>
      <w:pPr>
        <w:ind w:left="0" w:firstLine="403"/>
      </w:pPr>
      <w:rPr>
        <w:rFonts w:hint="default"/>
        <w:b w:val="0"/>
        <w:bCs w:val="0"/>
        <w:highligh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56E"/>
    <w:rsid w:val="0007445E"/>
    <w:rsid w:val="000833C0"/>
    <w:rsid w:val="00087DAF"/>
    <w:rsid w:val="000A6EEB"/>
    <w:rsid w:val="000D7E38"/>
    <w:rsid w:val="0010468B"/>
    <w:rsid w:val="00105C6B"/>
    <w:rsid w:val="00142214"/>
    <w:rsid w:val="001554C6"/>
    <w:rsid w:val="00161404"/>
    <w:rsid w:val="00172124"/>
    <w:rsid w:val="001A4AAA"/>
    <w:rsid w:val="001C52C5"/>
    <w:rsid w:val="001E20D9"/>
    <w:rsid w:val="002413F5"/>
    <w:rsid w:val="00276B55"/>
    <w:rsid w:val="00280A50"/>
    <w:rsid w:val="00293E3A"/>
    <w:rsid w:val="002B0296"/>
    <w:rsid w:val="002B7A67"/>
    <w:rsid w:val="002C424F"/>
    <w:rsid w:val="002D4620"/>
    <w:rsid w:val="002F277D"/>
    <w:rsid w:val="003012D7"/>
    <w:rsid w:val="003564DA"/>
    <w:rsid w:val="00360287"/>
    <w:rsid w:val="003B739E"/>
    <w:rsid w:val="003C27F1"/>
    <w:rsid w:val="00455AB0"/>
    <w:rsid w:val="00543BEE"/>
    <w:rsid w:val="0056281B"/>
    <w:rsid w:val="00633FF2"/>
    <w:rsid w:val="006A1E49"/>
    <w:rsid w:val="006F4982"/>
    <w:rsid w:val="00747F3C"/>
    <w:rsid w:val="00752147"/>
    <w:rsid w:val="00777DB0"/>
    <w:rsid w:val="0078047F"/>
    <w:rsid w:val="007A66FA"/>
    <w:rsid w:val="007B1F40"/>
    <w:rsid w:val="00813127"/>
    <w:rsid w:val="00833846"/>
    <w:rsid w:val="00840195"/>
    <w:rsid w:val="008544E4"/>
    <w:rsid w:val="0086226A"/>
    <w:rsid w:val="008D7672"/>
    <w:rsid w:val="00903F82"/>
    <w:rsid w:val="00925F3E"/>
    <w:rsid w:val="00934D40"/>
    <w:rsid w:val="00965EDF"/>
    <w:rsid w:val="00986F73"/>
    <w:rsid w:val="00A10D64"/>
    <w:rsid w:val="00A17BCA"/>
    <w:rsid w:val="00AB436E"/>
    <w:rsid w:val="00AC1A18"/>
    <w:rsid w:val="00AE25CC"/>
    <w:rsid w:val="00AE466B"/>
    <w:rsid w:val="00AF5386"/>
    <w:rsid w:val="00AF6677"/>
    <w:rsid w:val="00B3221C"/>
    <w:rsid w:val="00B37B80"/>
    <w:rsid w:val="00B44D84"/>
    <w:rsid w:val="00BC168D"/>
    <w:rsid w:val="00BF630F"/>
    <w:rsid w:val="00C153E0"/>
    <w:rsid w:val="00C32481"/>
    <w:rsid w:val="00C3789B"/>
    <w:rsid w:val="00CC11D1"/>
    <w:rsid w:val="00CC1BA6"/>
    <w:rsid w:val="00CC75F0"/>
    <w:rsid w:val="00D01EC7"/>
    <w:rsid w:val="00D52C71"/>
    <w:rsid w:val="00D777DB"/>
    <w:rsid w:val="00DA56E4"/>
    <w:rsid w:val="00DC02C8"/>
    <w:rsid w:val="00DC0F27"/>
    <w:rsid w:val="00DE31B2"/>
    <w:rsid w:val="00DF29B4"/>
    <w:rsid w:val="00DF7F2E"/>
    <w:rsid w:val="00E0573A"/>
    <w:rsid w:val="00E455CC"/>
    <w:rsid w:val="00E7115D"/>
    <w:rsid w:val="00E8110C"/>
    <w:rsid w:val="00EE138A"/>
    <w:rsid w:val="00EE28FA"/>
    <w:rsid w:val="00EE6EFC"/>
    <w:rsid w:val="00F9782A"/>
    <w:rsid w:val="00FB17A6"/>
    <w:rsid w:val="00FE0DF7"/>
    <w:rsid w:val="00FE4958"/>
    <w:rsid w:val="00FF6F13"/>
    <w:rsid w:val="043C23E0"/>
    <w:rsid w:val="0DE97166"/>
    <w:rsid w:val="0F931DEF"/>
    <w:rsid w:val="10140E29"/>
    <w:rsid w:val="11387591"/>
    <w:rsid w:val="11CE5360"/>
    <w:rsid w:val="140C44FD"/>
    <w:rsid w:val="17005FBC"/>
    <w:rsid w:val="19792055"/>
    <w:rsid w:val="1A3F6DFB"/>
    <w:rsid w:val="1BB74FFC"/>
    <w:rsid w:val="1C7F5674"/>
    <w:rsid w:val="25FD5FAE"/>
    <w:rsid w:val="28B04CD5"/>
    <w:rsid w:val="2AB078A1"/>
    <w:rsid w:val="2F754C15"/>
    <w:rsid w:val="2FF65D56"/>
    <w:rsid w:val="31F5323A"/>
    <w:rsid w:val="33A72B95"/>
    <w:rsid w:val="34E523CA"/>
    <w:rsid w:val="364D41F6"/>
    <w:rsid w:val="3E32264F"/>
    <w:rsid w:val="40BE01CA"/>
    <w:rsid w:val="43004D51"/>
    <w:rsid w:val="47D6229D"/>
    <w:rsid w:val="4D9A51DD"/>
    <w:rsid w:val="4FE76A45"/>
    <w:rsid w:val="50E5049F"/>
    <w:rsid w:val="52947991"/>
    <w:rsid w:val="52F84916"/>
    <w:rsid w:val="533C1422"/>
    <w:rsid w:val="53904C86"/>
    <w:rsid w:val="54413194"/>
    <w:rsid w:val="54E44C9D"/>
    <w:rsid w:val="55147EDE"/>
    <w:rsid w:val="56460F05"/>
    <w:rsid w:val="56856555"/>
    <w:rsid w:val="58F91E91"/>
    <w:rsid w:val="67D05019"/>
    <w:rsid w:val="68585390"/>
    <w:rsid w:val="69532406"/>
    <w:rsid w:val="6D7B6E27"/>
    <w:rsid w:val="6FF9271D"/>
    <w:rsid w:val="7C1168CC"/>
    <w:rsid w:val="7E013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link w:val="17"/>
    <w:qFormat/>
    <w:uiPriority w:val="99"/>
    <w:pPr>
      <w:keepNext/>
      <w:keepLines/>
      <w:spacing w:before="280" w:after="290" w:line="376" w:lineRule="auto"/>
      <w:outlineLvl w:val="3"/>
    </w:pPr>
    <w:rPr>
      <w:rFonts w:ascii="Arial" w:hAnsi="Arial" w:eastAsia="黑体" w:cs="Arial"/>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2"/>
    <w:qFormat/>
    <w:uiPriority w:val="0"/>
    <w:pPr>
      <w:ind w:firstLine="420" w:firstLineChars="200"/>
    </w:pPr>
    <w:rPr>
      <w:szCs w:val="20"/>
    </w:rPr>
  </w:style>
  <w:style w:type="paragraph" w:styleId="4">
    <w:name w:val="annotation text"/>
    <w:basedOn w:val="1"/>
    <w:semiHidden/>
    <w:unhideWhenUsed/>
    <w:qFormat/>
    <w:uiPriority w:val="99"/>
    <w:pPr>
      <w:jc w:val="left"/>
    </w:pPr>
  </w:style>
  <w:style w:type="paragraph" w:styleId="5">
    <w:name w:val="Body Text"/>
    <w:basedOn w:val="1"/>
    <w:next w:val="1"/>
    <w:link w:val="18"/>
    <w:qFormat/>
    <w:uiPriority w:val="99"/>
    <w:pPr>
      <w:spacing w:after="120"/>
    </w:pPr>
  </w:style>
  <w:style w:type="paragraph" w:styleId="6">
    <w:name w:val="Body Text Indent"/>
    <w:basedOn w:val="1"/>
    <w:link w:val="24"/>
    <w:qFormat/>
    <w:uiPriority w:val="99"/>
    <w:pPr>
      <w:spacing w:after="120"/>
      <w:ind w:left="420" w:leftChars="200"/>
    </w:pPr>
  </w:style>
  <w:style w:type="paragraph" w:styleId="7">
    <w:name w:val="Plain Text"/>
    <w:basedOn w:val="1"/>
    <w:link w:val="20"/>
    <w:qFormat/>
    <w:uiPriority w:val="99"/>
    <w:rPr>
      <w:rFonts w:ascii="宋体" w:hAnsi="Courier New" w:cs="宋体"/>
    </w:rPr>
  </w:style>
  <w:style w:type="paragraph" w:styleId="8">
    <w:name w:val="Date"/>
    <w:basedOn w:val="1"/>
    <w:next w:val="1"/>
    <w:link w:val="19"/>
    <w:qFormat/>
    <w:uiPriority w:val="0"/>
    <w:pPr>
      <w:ind w:left="100" w:leftChars="2500"/>
    </w:pPr>
  </w:style>
  <w:style w:type="paragraph" w:styleId="9">
    <w:name w:val="Body Text Indent 2"/>
    <w:basedOn w:val="1"/>
    <w:link w:val="29"/>
    <w:semiHidden/>
    <w:unhideWhenUsed/>
    <w:qFormat/>
    <w:uiPriority w:val="99"/>
    <w:pPr>
      <w:spacing w:after="120" w:line="480" w:lineRule="auto"/>
      <w:ind w:left="420" w:leftChars="200"/>
    </w:p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100" w:beforeAutospacing="1" w:after="100" w:afterAutospacing="1"/>
      <w:jc w:val="left"/>
    </w:pPr>
    <w:rPr>
      <w:rFonts w:ascii="Calibri" w:hAnsi="Calibri"/>
      <w:kern w:val="0"/>
      <w:sz w:val="24"/>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semiHidden/>
    <w:qFormat/>
    <w:uiPriority w:val="0"/>
  </w:style>
  <w:style w:type="character" w:customStyle="1" w:styleId="17">
    <w:name w:val="标题 4 Char"/>
    <w:basedOn w:val="15"/>
    <w:link w:val="2"/>
    <w:qFormat/>
    <w:uiPriority w:val="9"/>
    <w:rPr>
      <w:rFonts w:ascii="Arial" w:hAnsi="Arial" w:eastAsia="黑体" w:cs="Arial"/>
      <w:b/>
      <w:bCs/>
      <w:sz w:val="28"/>
      <w:szCs w:val="28"/>
    </w:rPr>
  </w:style>
  <w:style w:type="character" w:customStyle="1" w:styleId="18">
    <w:name w:val="正文文本 Char"/>
    <w:basedOn w:val="15"/>
    <w:link w:val="5"/>
    <w:qFormat/>
    <w:uiPriority w:val="99"/>
    <w:rPr>
      <w:rFonts w:ascii="Times New Roman" w:hAnsi="Times New Roman" w:eastAsia="宋体" w:cs="Times New Roman"/>
      <w:szCs w:val="21"/>
    </w:rPr>
  </w:style>
  <w:style w:type="character" w:customStyle="1" w:styleId="19">
    <w:name w:val="日期 Char"/>
    <w:basedOn w:val="15"/>
    <w:link w:val="8"/>
    <w:qFormat/>
    <w:uiPriority w:val="0"/>
    <w:rPr>
      <w:rFonts w:ascii="Times New Roman" w:hAnsi="Times New Roman" w:eastAsia="宋体" w:cs="Times New Roman"/>
      <w:szCs w:val="21"/>
    </w:rPr>
  </w:style>
  <w:style w:type="character" w:customStyle="1" w:styleId="20">
    <w:name w:val="纯文本 Char"/>
    <w:basedOn w:val="15"/>
    <w:link w:val="7"/>
    <w:qFormat/>
    <w:uiPriority w:val="99"/>
    <w:rPr>
      <w:rFonts w:ascii="宋体" w:hAnsi="Courier New" w:eastAsia="宋体" w:cs="宋体"/>
      <w:szCs w:val="21"/>
    </w:rPr>
  </w:style>
  <w:style w:type="paragraph" w:customStyle="1" w:styleId="21">
    <w:name w:val="样式1"/>
    <w:basedOn w:val="1"/>
    <w:qFormat/>
    <w:uiPriority w:val="99"/>
    <w:pPr>
      <w:widowControl/>
      <w:spacing w:line="360" w:lineRule="auto"/>
      <w:ind w:firstLine="480" w:firstLineChars="200"/>
    </w:pPr>
    <w:rPr>
      <w:rFonts w:ascii="宋体" w:hAnsi="宋体" w:cs="宋体"/>
      <w:kern w:val="24"/>
      <w:sz w:val="24"/>
      <w:szCs w:val="24"/>
    </w:rPr>
  </w:style>
  <w:style w:type="character" w:customStyle="1" w:styleId="22">
    <w:name w:val="正文缩进 Char"/>
    <w:link w:val="3"/>
    <w:qFormat/>
    <w:uiPriority w:val="0"/>
    <w:rPr>
      <w:rFonts w:ascii="Times New Roman" w:hAnsi="Times New Roman" w:eastAsia="宋体" w:cs="Times New Roman"/>
      <w:szCs w:val="20"/>
    </w:rPr>
  </w:style>
  <w:style w:type="paragraph" w:styleId="23">
    <w:name w:val="List Paragraph"/>
    <w:basedOn w:val="1"/>
    <w:link w:val="34"/>
    <w:qFormat/>
    <w:uiPriority w:val="34"/>
    <w:pPr>
      <w:ind w:firstLine="420" w:firstLineChars="200"/>
    </w:pPr>
  </w:style>
  <w:style w:type="character" w:customStyle="1" w:styleId="24">
    <w:name w:val="正文文本缩进 Char"/>
    <w:basedOn w:val="15"/>
    <w:link w:val="6"/>
    <w:qFormat/>
    <w:uiPriority w:val="99"/>
    <w:rPr>
      <w:rFonts w:ascii="Times New Roman" w:hAnsi="Times New Roman" w:eastAsia="宋体" w:cs="Times New Roman"/>
      <w:szCs w:val="21"/>
    </w:rPr>
  </w:style>
  <w:style w:type="character" w:customStyle="1" w:styleId="25">
    <w:name w:val="fontstyle01"/>
    <w:basedOn w:val="15"/>
    <w:qFormat/>
    <w:uiPriority w:val="0"/>
    <w:rPr>
      <w:rFonts w:hint="eastAsia" w:ascii="宋体" w:hAnsi="宋体" w:eastAsia="宋体"/>
      <w:color w:val="000000"/>
      <w:sz w:val="22"/>
      <w:szCs w:val="22"/>
    </w:rPr>
  </w:style>
  <w:style w:type="paragraph" w:customStyle="1" w:styleId="26">
    <w:name w:val="列出段落1"/>
    <w:basedOn w:val="1"/>
    <w:qFormat/>
    <w:uiPriority w:val="0"/>
    <w:pPr>
      <w:ind w:firstLine="420" w:firstLineChars="200"/>
    </w:pPr>
    <w:rPr>
      <w:szCs w:val="24"/>
    </w:rPr>
  </w:style>
  <w:style w:type="character" w:customStyle="1" w:styleId="27">
    <w:name w:val="页眉 Char"/>
    <w:basedOn w:val="15"/>
    <w:link w:val="11"/>
    <w:qFormat/>
    <w:uiPriority w:val="99"/>
    <w:rPr>
      <w:rFonts w:ascii="Times New Roman" w:hAnsi="Times New Roman" w:eastAsia="宋体" w:cs="Times New Roman"/>
      <w:sz w:val="18"/>
      <w:szCs w:val="18"/>
    </w:rPr>
  </w:style>
  <w:style w:type="character" w:customStyle="1" w:styleId="28">
    <w:name w:val="页脚 Char"/>
    <w:basedOn w:val="15"/>
    <w:link w:val="10"/>
    <w:qFormat/>
    <w:uiPriority w:val="99"/>
    <w:rPr>
      <w:rFonts w:ascii="Times New Roman" w:hAnsi="Times New Roman" w:eastAsia="宋体" w:cs="Times New Roman"/>
      <w:sz w:val="18"/>
      <w:szCs w:val="18"/>
    </w:rPr>
  </w:style>
  <w:style w:type="character" w:customStyle="1" w:styleId="29">
    <w:name w:val="正文文本缩进 2 Char"/>
    <w:basedOn w:val="15"/>
    <w:link w:val="9"/>
    <w:semiHidden/>
    <w:qFormat/>
    <w:uiPriority w:val="99"/>
    <w:rPr>
      <w:rFonts w:ascii="Times New Roman" w:hAnsi="Times New Roman" w:eastAsia="宋体" w:cs="Times New Roman"/>
      <w:szCs w:val="21"/>
    </w:rPr>
  </w:style>
  <w:style w:type="paragraph" w:customStyle="1" w:styleId="3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1">
    <w:name w:val="一级条标题"/>
    <w:next w:val="1"/>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32">
    <w:name w:val="二级条标题"/>
    <w:basedOn w:val="31"/>
    <w:next w:val="1"/>
    <w:qFormat/>
    <w:uiPriority w:val="0"/>
    <w:pPr>
      <w:numPr>
        <w:ilvl w:val="2"/>
      </w:numPr>
      <w:ind w:left="1700"/>
      <w:outlineLvl w:val="3"/>
    </w:pPr>
  </w:style>
  <w:style w:type="paragraph" w:customStyle="1" w:styleId="33">
    <w:name w:val="二级无"/>
    <w:basedOn w:val="32"/>
    <w:qFormat/>
    <w:uiPriority w:val="0"/>
    <w:pPr>
      <w:spacing w:beforeLines="0" w:afterLines="0"/>
      <w:ind w:left="850"/>
    </w:pPr>
    <w:rPr>
      <w:rFonts w:ascii="宋体" w:eastAsia="宋体"/>
    </w:rPr>
  </w:style>
  <w:style w:type="character" w:customStyle="1" w:styleId="34">
    <w:name w:val="列出段落 Char"/>
    <w:link w:val="23"/>
    <w:qFormat/>
    <w:uiPriority w:val="34"/>
    <w:rPr>
      <w:rFonts w:ascii="Times New Roman" w:hAnsi="Times New Roman" w:eastAsia="宋体" w:cs="Times New Roman"/>
      <w:szCs w:val="21"/>
    </w:rPr>
  </w:style>
  <w:style w:type="paragraph" w:customStyle="1" w:styleId="35">
    <w:name w:val="null3"/>
    <w:qFormat/>
    <w:uiPriority w:val="0"/>
    <w:rPr>
      <w:rFonts w:hint="eastAsia" w:ascii="Calibri" w:hAnsi="Calibri" w:eastAsia="宋体" w:cs="Times New Roman"/>
      <w:lang w:val="en-US" w:eastAsia="zh-CN"/>
    </w:rPr>
  </w:style>
  <w:style w:type="paragraph" w:customStyle="1" w:styleId="36">
    <w:name w:val="Plain Text"/>
    <w:basedOn w:val="1"/>
    <w:qFormat/>
    <w:uiPriority w:val="0"/>
    <w:pPr>
      <w:adjustRightInd/>
      <w:spacing w:line="240" w:lineRule="auto"/>
      <w:textAlignment w:val="auto"/>
    </w:pPr>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7520</Words>
  <Characters>8041</Characters>
  <Lines>38</Lines>
  <Paragraphs>10</Paragraphs>
  <TotalTime>2</TotalTime>
  <ScaleCrop>false</ScaleCrop>
  <LinksUpToDate>false</LinksUpToDate>
  <CharactersWithSpaces>8084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2019-05-09T01:57:00Z</dcterms:created>
  <dc:creator>sgd</dc:creator>
  <cp:lastModifiedBy>/sun美好</cp:lastModifiedBy>
  <dcterms:modified xsi:type="dcterms:W3CDTF">2025-08-22T07:45:40Z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eyJoZGlkIjoiMTM5Y2EyMzU3OThkM2I4NmE1ZWI2ZTE2NjlkNmYxMjMiLCJ1c2VySWQiOiI0MDc4NzY5MzEifQ==</vt:lpwstr>
  </property>
  <property fmtid="{D5CDD505-2E9C-101B-9397-08002B2CF9AE}" pid="3" name="KSOProductBuildVer">
    <vt:lpwstr>2052-12.1.0.21915</vt:lpwstr>
  </property>
  <property fmtid="{D5CDD505-2E9C-101B-9397-08002B2CF9AE}" pid="4" name="ICV">
    <vt:lpwstr>6E69BEFE6CE94739A50CE25CFF7B684E_12</vt:lpwstr>
  </property>
</Properties>
</file>