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70" w:lineRule="exact"/>
        <w:jc w:val="center"/>
        <w:rPr>
          <w:rFonts w:ascii="方正小标宋简体" w:hAnsi="方正小标宋简体" w:eastAsia="方正小标宋简体" w:cs="方正小标宋简体"/>
          <w:b/>
          <w:bCs/>
          <w:kern w:val="0"/>
          <w:sz w:val="44"/>
          <w:szCs w:val="44"/>
          <w:lang w:bidi="ar"/>
        </w:rPr>
      </w:pPr>
      <w:r>
        <w:rPr>
          <w:rFonts w:hint="eastAsia" w:ascii="方正小标宋简体" w:hAnsi="方正小标宋简体" w:eastAsia="方正小标宋简体" w:cs="方正小标宋简体"/>
          <w:b/>
          <w:bCs/>
          <w:kern w:val="0"/>
          <w:sz w:val="44"/>
          <w:szCs w:val="44"/>
          <w:lang w:bidi="ar"/>
        </w:rPr>
        <w:t>江门市公安局2024至2026年执勤执法查扣车辆拖车和保管服务项目采购需求书（仅供参考）</w:t>
      </w:r>
    </w:p>
    <w:p/>
    <w:p>
      <w:pPr>
        <w:spacing w:line="57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一、项目内容</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（一）采购人：江门市公安局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（二）项目名称：江门市公安局2024至2026年执勤执法查扣车辆拖车和保管服务项目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（三）采购标的：执勤执法查扣车辆拖车和保管服务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（四）采购数量（规模）：1项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（五）预算金额：12560000 元(其中车辆拖车服务5360000元，车辆保管服务7200000元） </w:t>
      </w:r>
    </w:p>
    <w:p>
      <w:pPr>
        <w:spacing w:line="57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二、供应商的资格要求</w:t>
      </w:r>
    </w:p>
    <w:p>
      <w:pPr>
        <w:spacing w:line="570" w:lineRule="exact"/>
        <w:ind w:left="638" w:leftChars="304"/>
        <w:rPr>
          <w:rFonts w:ascii="仿宋_GB2312" w:hAnsi="仿宋_GB2312" w:eastAsia="仿宋_GB2312" w:cs="仿宋_GB2312"/>
          <w:sz w:val="32"/>
          <w:szCs w:val="32"/>
        </w:rPr>
      </w:pPr>
      <w:r>
        <w:rPr>
          <w:rFonts w:hint="eastAsia" w:ascii="仿宋_GB2312" w:hAnsi="仿宋_GB2312" w:eastAsia="仿宋_GB2312" w:cs="仿宋_GB2312"/>
          <w:sz w:val="32"/>
          <w:szCs w:val="32"/>
        </w:rPr>
        <w:t>（一）满足《中华人民共和国政府采购法》第二十二条规定：1.供应商应当具备《中华人民共和国政府采购法》第二十二</w:t>
      </w:r>
    </w:p>
    <w:p>
      <w:pPr>
        <w:spacing w:line="57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条规定的条件；</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供应商应当具有独立承担民事责任的能力：在中华人民共和国境内注册的法人或其他组织及自然人，投标（响应）时提交有效的营业执照（或事业法人登记证或身份证等相关证明）副本复印件。分支机构投标的，须提供总公司和分公司营业执照副本复印件及总公司出具给分支机构的授权书。</w:t>
      </w:r>
      <w:bookmarkStart w:id="0" w:name="_GoBack"/>
      <w:bookmarkEnd w:id="0"/>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（2）供应人应当具有良好的商业信誉和健全的财务会计制度（提供2023年度或2024年1月至今任意1个月的财务状况报告或基本开户行出具的资信证明或其他相关证明）。</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（3）供应商应当具有履行合同所必需的设备和专业技术能力（提供《关于资格的声明函》）。</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（4）供应人应当有依法缴纳税收和社会保障资金的良好记录（提供2024年1月至今任意1个月的依法缴纳税收和社会保障资金的相关材料。如依法免税或不需要缴纳社会保障资金的，应当提供相应证明材料）。</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供应人参加招标采购活动前三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提供《关于资格的声明函》）。</w:t>
      </w:r>
    </w:p>
    <w:p>
      <w:pPr>
        <w:spacing w:line="57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z w:val="32"/>
          <w:szCs w:val="32"/>
        </w:rPr>
        <w:t>（6）供应人应当符合法律、行政法规规定</w:t>
      </w:r>
      <w:r>
        <w:rPr>
          <w:rFonts w:hint="eastAsia" w:ascii="仿宋_GB2312" w:hAnsi="仿宋_GB2312" w:eastAsia="仿宋_GB2312" w:cs="仿宋_GB2312"/>
          <w:color w:val="000000" w:themeColor="text1"/>
          <w:sz w:val="32"/>
          <w:szCs w:val="32"/>
          <w14:textFill>
            <w14:solidFill>
              <w14:schemeClr w14:val="tx1"/>
            </w14:solidFill>
          </w14:textFill>
        </w:rPr>
        <w:t>的其他条件（提供《关于资格的声明函》）。</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spacing w:val="-20"/>
          <w:sz w:val="32"/>
          <w:szCs w:val="32"/>
        </w:rPr>
        <w:t>供应人未被列入“信用中国”网站</w:t>
      </w:r>
      <w:r>
        <w:rPr>
          <w:rFonts w:hint="eastAsia" w:ascii="仿宋_GB2312" w:hAnsi="仿宋_GB2312" w:eastAsia="仿宋_GB2312" w:cs="仿宋_GB2312"/>
          <w:sz w:val="32"/>
          <w:szCs w:val="32"/>
        </w:rPr>
        <w:t>(www.creditchina.gov.cn)“记录失信被执行人或重大税收违法案件当事人名单或政府采购严重违法失信行为”记录名单；不处于中国政府采购网(www.ccgp.gov.cn)“政府采购严重违法失信行为信息记录”中的禁止参加政府采购活动期间。（以开启供应文件当日采购代理机构通过“信用中国”网站（www.creditchina.gov.cn）、中国政府采购网（www.ccgp.gov.cn）查询供应人信用记录为准，如相关失信记录已失效，应当提供相应证明文件复印件）。</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3.本合同包不接受联合</w:t>
      </w:r>
      <w:r>
        <w:rPr>
          <w:rFonts w:hint="eastAsia" w:ascii="仿宋_GB2312" w:hAnsi="仿宋_GB2312" w:eastAsia="仿宋_GB2312" w:cs="仿宋_GB2312"/>
          <w:color w:val="000000" w:themeColor="text1"/>
          <w:sz w:val="32"/>
          <w:szCs w:val="32"/>
          <w14:textFill>
            <w14:solidFill>
              <w14:schemeClr w14:val="tx1"/>
            </w14:solidFill>
          </w14:textFill>
        </w:rPr>
        <w:t>体供应（提供《关于资格的声明函</w:t>
      </w:r>
      <w:r>
        <w:rPr>
          <w:rFonts w:hint="eastAsia" w:ascii="仿宋_GB2312" w:hAnsi="仿宋_GB2312" w:eastAsia="仿宋_GB2312" w:cs="仿宋_GB2312"/>
          <w:sz w:val="32"/>
          <w:szCs w:val="32"/>
        </w:rPr>
        <w:t>》）。</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（二）落实政府采购政策需满足的资格要求：本项目不属于专门面向中小企业采购的项目。</w:t>
      </w:r>
    </w:p>
    <w:p>
      <w:pPr>
        <w:spacing w:line="570" w:lineRule="exact"/>
        <w:ind w:firstLine="643"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三、商务条款要求</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color w:val="000000" w:themeColor="text1"/>
          <w:sz w:val="32"/>
          <w:szCs w:val="32"/>
          <w14:textFill>
            <w14:solidFill>
              <w14:schemeClr w14:val="tx1"/>
            </w14:solidFill>
          </w14:textFill>
        </w:rPr>
        <w:t>（一）供应</w:t>
      </w:r>
      <w:r>
        <w:rPr>
          <w:rFonts w:hint="eastAsia" w:ascii="仿宋_GB2312" w:hAnsi="仿宋_GB2312" w:eastAsia="仿宋_GB2312" w:cs="仿宋_GB2312"/>
          <w:sz w:val="32"/>
          <w:szCs w:val="32"/>
        </w:rPr>
        <w:t>报价应为人民币含税全包价，包括项目实施过程中发生的全部费用。</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（二）服务期限：本期服务有效期为 24个月（两年），从合同签订生效之日起开始计算。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（三）服务范围：</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1.执勤执法查扣车辆拖车服务范围：负责蓬江区（含江门大道）和江海区的拖车服务。</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2.执勤执法查扣车辆保管服务范围：负责蓬江区、江海区及江门市各高速公路执勤执法查扣车辆的保管服务，至少须满足在蓬江区或江海区、台山市广海镇、开平市沙塘镇、新会区三江镇各设立1个保管场。</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付款方式：按季度分期结算。自合同签订生效之日起，每3个自然月为一个结算季度，服务款项按季度结算。每个季度服务费金额=成交总金额÷8个季度。本期服务共分8个季度，供应商应于每季度10日前按采购人要求提供上一季度真实有效的结算清单、明细表以及正规发票申请结算。</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注：因采购人使用的是财政资金，采购人在规定的付款时间为采购人向政府采购支付部门提出办理财政支付申请手续的时间（不含政府财政支付部门审核的时间），采购人在规定时间内提出支付申请手续后，即视为采购人已经按期支付。供应商不得以未收到款项为由，拒绝配合甲方有关工作。</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（五）供应商在服务期内，应当做好以下工作：</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供应商应为所有作业人员提供安全作业所需的一切设备，确保作业人员人身安全，务必在做好安全防范措施下才能进行作业。在整个作业期间（含上下班期间）若发生作业人员意外伤残、身故及财物或其它损失的，无论何种原因所致，采购人和采购代理机构均不负责，一切由供应商负责。</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2.供应商应当定期召开作业人员工作会议，并邀请采购人代表人参加，认真听取采购人的建议和意见，及时分析总结作业期间存在的问题，并定期落实整改措施。 </w:t>
      </w:r>
    </w:p>
    <w:p>
      <w:pPr>
        <w:spacing w:line="57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四、技术服务要求</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（一）执勤执法查扣车辆拖车服务要求：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1.供应商必须按照拖移清障操作规范和要求开展工作，服从采购人的工作安排，按时、按质量完成各项清障救援和设卡驻点查扣车辆批量拖移；</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供应商必须具备清障、拯救的硬件设备和运力，具有不同吨位的拯救车辆。参与清障、拯救作业的车辆具有合法、完备的证照，并购买相应的保险，除交强险外，还应购买保险理赔金额不少于人民币300万元的第三者责任险，且保险理赔时限在本项目服务期限内持续有效。</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供应商应至少配备拯救业务作业车10辆，其中，核定载重3吨以上（含）平板拖车不少于9辆，核定吊力7吨以上（含）吊托车不少于1辆，配备50吨至250吨的足够数量重型拖吊设备（重型拖吊设备可采取第三方租赁，所产生租赁费用由供应商负责解决，采购人无需负责），作业人员应具备相关车辆操作作业证。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4.供应商应至少配备拖车拯救工作人员不少于24人，实行24小时不停分班运作制度。</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5.供应商在蓬江或江海市区至少设置一个固定执勤办公点，用于拯救人员和车辆24小时备勤休息。同时供应商应按照辖区大队的需求，认真做好早、晚高峰在固定位置驻点执勤工作，满足设卡驻点批量拖移业务。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6.供应商必须做好救援车辆维护保养和日常检查，保证出勤装备齐全良好，发现故障或异常情况要及时处理，不得影响道路清障工作的正常运作。</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7.参与清障、拯救作业的车辆必须随车配备足够、完好的交通清障辅助设备（包括枕木、警示筒、警示带等反光标志，拖车辅助轮、磅秤、千斤顶、木屑、细沙、扫把，具夜间拍摄和摄录功能的相机等）、作业人员应确保通讯畅通，以及日常作业时应配备记录仪，并对作业全过程进行摄录，摄录数据至少保存90天。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供应商必须严格按《中华人民共和国交通运输行业标准JT/T891-2014道路车辆清障救援操作规范》的要求进行作业，不得违规操作、超负荷施援；现场清障作业时必须按照规定摆放安全设施、开启安全警示灯。每次清障、拯救作业必须有2名或以上有经验工作人员随车作业。工作人员要着反光衣，注意自身防护，应服从现场交警、路政的指挥。</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9.如出现清障、拯救作业需求超出供应商作业能力的，由供应商委托第三方协助作业，并按本服务要求实施，所产生的相关费用、责任等由供应商负责。</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10.供应商在执行任务期间不得借故离岗、请假、迟到、早退、脱岗、通信不畅通等现象。</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11.供应商提供的清障、拯救车辆必须安装行车记录仪，行车记录仪必须配备两个摄像头，满足日间、夜晚的记录要求，能清晰摄录从采购人将暂扣车辆移交给成交供应商起至成交供应商将暂扣车辆拖移至成交供应商停车场并移交完毕的整个过程。具体安装事项需符合采购人要求，摄录数据至少保存90天。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12.供应商提供的车辆必须统一车身颜色、喷涂供应商单位名称及投诉电话（如车辆属租赁的，供应商应在车辆明显位置标示出成交供应商单位名称及投诉电话）。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13.供应商必须提供24小时清障、拯救服务，供应商接到由采购人电话发出的清障、拯救指令起，立即做出响应5分钟内完成出车，蓬江（含江门大道）、江海主城区及江门大道20分钟内到达现场提供服务，蓬江区的杜阮、棠下、荷塘三镇和江海区的礼乐镇30分钟内到达现场提供服务（因恶劣天气、交通拥堵等客观因素影响，响应时间可相应顺延）。供应人三次以上未能按时限要求提供服务或因响应不及时造成不良社会影响的，采购人有权单方终止合约。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14.供应商作业中必须对车辆拖移前、拖移后分别对车辆外观，车辆内部进行拍照记录。因作业不规范造成车辆损坏丢失及车主损失的，由供应商承担相应赔偿责任。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15.供应商应配套建设拖车管理系统，能通过移动端上传拖车、入场照片，便于采购人记录、核对拖移车辆状况等信息，并将数据信息与车辆保管系统对接，实现查扣车辆从拖车、入场至出场形成闭环管理。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16.采购人有重要执勤任务需设卡驻点的，供应商应按照采购人要求安排人员和车辆到指定地点配合做好驻点执勤。驻点执勤人员必须填写《驻点执勤人员登记表》一式叁份，经采购人和供应商现场工作人员双方签名确认。</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17.供应商在拖移车辆和物品时，应向被拖移车辆驾驶员了解确认车辆物品，并与现场执勤民警就车辆、物品损坏的状况进行确认；拖移至指定的停车场时做好交接手续，不得擅自处置、使用被拖移车辆物品；不得将车辆转移至非指定地点。</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18.供应商在拖移车辆期间，应当保证车辆及车内物品、设施安全、完好。如造成损坏、丢失的，由供应商负全部责任。</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19.供应商要保管好《拖移违章（肇事）车辆交接登记表》和所有单据，并记录好被拖移车辆的详细情况，一车一单，规范填写，拖移车辆交接入场前后必须交由指定的停车场保管，同时做好验车及签收手续。</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采购人委托供应商进行违法查扣或涉案车辆需司法鉴定的拖移业务，费用由采购人支付，供应商不得再重复向涉案车辆当事人收取车辆拖移清障费用，如有违反，采购人具有无条件解除合同并保留追究法律责任的权利。</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21.供应商不得在被拖移车辆过程中，私自翻动车内物品以及抽取车内油料。</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22.承接任务期间，供应商雇佣人员费用、车辆燃料、日常维修、维护、检验、保险及交通事故、车辆违章和营业运行中引发的经济纠纷等法律责任及日常开支、损失费用由供应商自行承担，与采购人无关。</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23.合同履行期间，在处置复杂交通事故中，如需第三方单位协助施救的，由供应商委托第三方进行协助，相关费用由供应商与第三方协商解决，采购人无需承担相关费用。</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24.如供应商违反服务条款要求的，采购人具有单方解除合同的权利，若供应商触犯法律的，采购人可将其移交司法部门处理。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（二）执勤执法查扣车辆保管服务要求：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供应商提供的保管场面积要求。蓬江区或江江海区保管场不得少于100亩、台山市广海镇保管场不得少于8亩、开平市沙塘镇保管场不得少于12亩、新会区三江镇保管场不得少于10亩。上述4个地域保管场必须设施已完善，运营正常（须提供上述4个地域保管场实地照片、租赁场地或场地使用权等相关证明）。</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2.供应商提供的每个保管场至少需配备2名工作人员，且须提供24小时车辆保管服务和人员值守，保证全天候能够办理车辆进场交接和提取车辆业务。供应商必须确保满足采购人所有的业务车辆停放需要。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3.供应商提供的保管场必须设置固定的办公场所，并在办公场所配置相应的专用计算机等办公设备。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4.供应商提供的保管场必须配备齐全消防设施,定期开展消防隐患排查。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5.供应商提供的保管场必须配备照明、监控设备，保证24 小时能够开展工作，照明和监控设备必须能覆盖场内全区域。监控录像数据至少保存90天。保管场应设置部分户外遮雨棚或提供盖车膜，对玻璃破碎或车身损坏车辆提供遮雨条件。车辆在保管过程中如出现损坏或丢失的，供应商须承担相应的赔偿责任和法律责任。</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6.供应商提供的保管场场内应设置明显的停车场标志，根据车辆类别设立不同的停车区域对应的标志牌，保证入场车辆能按照车型和暂扣、拖移、收缴等案件性质分区有序停放，确保随时可查找到对应车辆。</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7.供应商提供的保管场应对外公告保管场有效的营业执照、经营收费许可证、收费标准和依据、监督投诉电话，还应明确公告车辆放行流程。</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8.供应商提供的保管场必须安排足够值班人员，涉案车辆入场时，应对车外、车内及油量情况进行拍照保存。对场内所有车辆进行“一车一档”登记管理（包括车辆类型、号牌、车架码、发动机码、缺件情况等），并对车辆进行拍照及对涉案车辆进行拓码，便于采购人核对查扣车辆信息，确保保管场内车辆准确无误。</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9.配备专用车辆保管系统。可对车辆入场、出场实现线上审批，具有车辆信息、图片登记、车辆离场、超期预警等功能，并向采购人开放，确保采购人能够随时查阅查扣车辆相关信息。</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10.供应商应严格按“涉案财物管理规定”对车辆进行保管，不得挪用、转借、损坏、拆卸和调换车辆及零部件。</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11.成交供应商确定后，成交供应商需负责将采购单位已查扣的所有暂扣车辆、货物，在30个日历日内，由原保管场所拖运到成交供应商停车场内及有序摆放，并与原保管场交接做好车辆档案登记手续，期间所产生的费用由成交供应商负责。 </w:t>
      </w:r>
    </w:p>
    <w:p>
      <w:pPr>
        <w:spacing w:line="57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五、终止合同及保管车辆处理</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出现下列情况之一，终止合同，取消成交供应商服务资格：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（一）不按上级公安机关执法办案暂扣车辆管理规定进行管理，经二次整改仍达不到要求的；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（二）因各种原因失去经营能力停止营运、设施损毁、搬迁等造成保管场不符合保管条件的； </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（三）成交供应商违反服务承诺、采购要求及三次无正当理由拒绝响应的或三次响应后无法按时完成工作的；</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（四）如上级有关公安机关部门要求调整车辆保管业务工作，本次确定的成交供应商服务资格即告终止的；</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（五）如成交供应商违反有关法律法规规定的；</w:t>
      </w:r>
    </w:p>
    <w:p>
      <w:pPr>
        <w:spacing w:line="57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（六）合同终止后，成交供应人停车场内的所有暂扣车辆、货物由成交供应商在30个日历日内无偿运到采购人指定停车场内的。</w:t>
      </w:r>
    </w:p>
    <w:p>
      <w:pPr>
        <w:jc w:val="right"/>
      </w:pPr>
    </w:p>
    <w:sectPr>
      <w:pgSz w:w="11906" w:h="16838"/>
      <w:pgMar w:top="1803" w:right="1440" w:bottom="1803" w:left="1440"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ourier New">
    <w:panose1 w:val="02070309020205020404"/>
    <w:charset w:val="00"/>
    <w:family w:val="modern"/>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5NTE0YTFiZGQwOWRhMDAzNzQ0ZmU4MDI3YTg1ZmEifQ=="/>
  </w:docVars>
  <w:rsids>
    <w:rsidRoot w:val="5B97519B"/>
    <w:rsid w:val="00262A25"/>
    <w:rsid w:val="00274FFD"/>
    <w:rsid w:val="003A02BB"/>
    <w:rsid w:val="003C181B"/>
    <w:rsid w:val="004B7BFC"/>
    <w:rsid w:val="005F6905"/>
    <w:rsid w:val="00666CEF"/>
    <w:rsid w:val="006B1AF1"/>
    <w:rsid w:val="007C2A10"/>
    <w:rsid w:val="009049E0"/>
    <w:rsid w:val="00977C76"/>
    <w:rsid w:val="009F046E"/>
    <w:rsid w:val="00C76E94"/>
    <w:rsid w:val="00D45D34"/>
    <w:rsid w:val="00EC5B41"/>
    <w:rsid w:val="00F168E5"/>
    <w:rsid w:val="021E624B"/>
    <w:rsid w:val="189514C6"/>
    <w:rsid w:val="21BE0239"/>
    <w:rsid w:val="29355D21"/>
    <w:rsid w:val="31940CDC"/>
    <w:rsid w:val="4F1710E1"/>
    <w:rsid w:val="574A6804"/>
    <w:rsid w:val="5852375D"/>
    <w:rsid w:val="5B97519B"/>
    <w:rsid w:val="664C4C56"/>
    <w:rsid w:val="76D25E3B"/>
    <w:rsid w:val="7B511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Balloon Text"/>
    <w:basedOn w:val="1"/>
    <w:link w:val="10"/>
    <w:qFormat/>
    <w:uiPriority w:val="0"/>
    <w:rPr>
      <w:sz w:val="18"/>
      <w:szCs w:val="18"/>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rFonts w:asciiTheme="minorHAnsi" w:hAnsiTheme="minorHAnsi" w:eastAsiaTheme="minorEastAsia" w:cstheme="minorBidi"/>
      <w:kern w:val="2"/>
      <w:sz w:val="18"/>
      <w:szCs w:val="18"/>
    </w:rPr>
  </w:style>
  <w:style w:type="character" w:customStyle="1" w:styleId="9">
    <w:name w:val="页脚 Char"/>
    <w:basedOn w:val="7"/>
    <w:link w:val="4"/>
    <w:qFormat/>
    <w:uiPriority w:val="0"/>
    <w:rPr>
      <w:rFonts w:asciiTheme="minorHAnsi" w:hAnsiTheme="minorHAnsi" w:eastAsiaTheme="minorEastAsia" w:cstheme="minorBidi"/>
      <w:kern w:val="2"/>
      <w:sz w:val="18"/>
      <w:szCs w:val="18"/>
    </w:rPr>
  </w:style>
  <w:style w:type="character" w:customStyle="1" w:styleId="10">
    <w:name w:val="批注框文本 Char"/>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826</Words>
  <Characters>4712</Characters>
  <Lines>39</Lines>
  <Paragraphs>11</Paragraphs>
  <TotalTime>3</TotalTime>
  <ScaleCrop>false</ScaleCrop>
  <LinksUpToDate>false</LinksUpToDate>
  <CharactersWithSpaces>5527</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2024-09-06T06:34:00Z</dcterms:created>
  <dc:creator>Administrator</dc:creator>
  <cp:lastModifiedBy>Administrator</cp:lastModifiedBy>
  <cp:lastPrinted>2024-09-03T04:51:00Z</cp:lastPrinted>
  <dcterms:modified xsi:type="dcterms:W3CDTF">2024-09-06T06:57:58Z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CD42F67F3A3B443583F2F2D94A6A768E_13</vt:lpwstr>
  </property>
</Properties>
</file>