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hint="eastAsia" w:ascii="宋体" w:hAnsi="宋体" w:eastAsia="宋体" w:cs="Times New Roman"/>
          <w:b/>
          <w:sz w:val="32"/>
          <w:szCs w:val="32"/>
        </w:rPr>
      </w:pPr>
      <w:r>
        <w:rPr>
          <w:rFonts w:hint="eastAsia" w:ascii="宋体" w:hAnsi="宋体" w:eastAsia="宋体" w:cs="Times New Roman"/>
          <w:b/>
          <w:sz w:val="32"/>
          <w:szCs w:val="32"/>
          <w:lang w:val="en-US" w:eastAsia="zh-CN"/>
        </w:rPr>
        <w:t>鹤山工业城管理委员会养老中心医疗康复设备采购项目</w:t>
      </w:r>
      <w:r>
        <w:rPr>
          <w:rFonts w:hint="eastAsia" w:ascii="宋体" w:hAnsi="宋体" w:eastAsia="宋体" w:cs="Times New Roman"/>
          <w:b/>
          <w:sz w:val="32"/>
          <w:szCs w:val="32"/>
        </w:rPr>
        <w:t>采购需求（</w:t>
      </w:r>
      <w:r>
        <w:rPr>
          <w:rFonts w:hint="eastAsia" w:ascii="宋体" w:hAnsi="宋体" w:eastAsia="宋体" w:cs="Times New Roman"/>
          <w:b/>
          <w:sz w:val="32"/>
          <w:szCs w:val="32"/>
          <w:lang w:val="en-US" w:eastAsia="zh-CN"/>
        </w:rPr>
        <w:t>仅</w:t>
      </w:r>
      <w:r>
        <w:rPr>
          <w:rFonts w:hint="eastAsia" w:ascii="宋体" w:hAnsi="宋体" w:eastAsia="宋体" w:cs="Times New Roman"/>
          <w:b/>
          <w:sz w:val="32"/>
          <w:szCs w:val="32"/>
        </w:rPr>
        <w:t>用于采购需求调查）</w:t>
      </w:r>
    </w:p>
    <w:p>
      <w:pPr>
        <w:autoSpaceDE w:val="0"/>
        <w:autoSpaceDN w:val="0"/>
        <w:adjustRightInd w:val="0"/>
        <w:spacing w:line="480" w:lineRule="exact"/>
        <w:ind w:firstLine="482" w:firstLineChars="200"/>
        <w:rPr>
          <w:rFonts w:ascii="宋体" w:hAnsi="宋体"/>
          <w:b/>
          <w:sz w:val="24"/>
          <w:szCs w:val="24"/>
        </w:rPr>
      </w:pPr>
      <w:r>
        <w:rPr>
          <w:rFonts w:hint="eastAsia" w:ascii="宋体" w:hAnsi="宋体"/>
          <w:b/>
          <w:sz w:val="24"/>
          <w:szCs w:val="24"/>
        </w:rPr>
        <w:t>一</w:t>
      </w:r>
      <w:r>
        <w:rPr>
          <w:rFonts w:ascii="宋体" w:hAnsi="宋体"/>
          <w:b/>
          <w:sz w:val="24"/>
          <w:szCs w:val="24"/>
        </w:rPr>
        <w:t>、</w:t>
      </w:r>
      <w:r>
        <w:rPr>
          <w:rFonts w:hint="eastAsia" w:ascii="宋体" w:hAnsi="宋体"/>
          <w:b/>
          <w:sz w:val="24"/>
          <w:szCs w:val="24"/>
        </w:rPr>
        <w:t>项目名称</w:t>
      </w:r>
    </w:p>
    <w:p>
      <w:pPr>
        <w:pStyle w:val="21"/>
        <w:autoSpaceDE w:val="0"/>
        <w:autoSpaceDN w:val="0"/>
        <w:adjustRightInd w:val="0"/>
        <w:spacing w:line="480" w:lineRule="exact"/>
        <w:ind w:firstLine="480"/>
        <w:rPr>
          <w:rFonts w:hint="default" w:ascii="宋体" w:hAnsi="Arial" w:eastAsia="宋体" w:cs="宋体"/>
          <w:kern w:val="0"/>
          <w:sz w:val="24"/>
          <w:szCs w:val="24"/>
          <w:lang w:val="en-US" w:eastAsia="zh-CN"/>
        </w:rPr>
      </w:pPr>
      <w:r>
        <w:rPr>
          <w:rFonts w:hint="eastAsia" w:ascii="宋体" w:hAnsi="Arial" w:eastAsia="宋体" w:cs="宋体"/>
          <w:kern w:val="0"/>
          <w:sz w:val="24"/>
          <w:szCs w:val="24"/>
          <w:lang w:val="en-US" w:eastAsia="zh-CN"/>
        </w:rPr>
        <w:t>鹤山工业城管理委员会养老中心医疗康复设备采购项目（初定）</w:t>
      </w:r>
    </w:p>
    <w:p>
      <w:pPr>
        <w:autoSpaceDE w:val="0"/>
        <w:autoSpaceDN w:val="0"/>
        <w:adjustRightInd w:val="0"/>
        <w:spacing w:line="480" w:lineRule="exact"/>
        <w:ind w:firstLine="482" w:firstLineChars="200"/>
        <w:rPr>
          <w:rFonts w:ascii="宋体" w:hAnsi="宋体"/>
          <w:b/>
          <w:sz w:val="24"/>
          <w:szCs w:val="24"/>
        </w:rPr>
      </w:pPr>
      <w:r>
        <w:rPr>
          <w:rFonts w:hint="eastAsia" w:ascii="宋体" w:hAnsi="宋体"/>
          <w:b/>
          <w:sz w:val="24"/>
          <w:szCs w:val="24"/>
        </w:rPr>
        <w:t>二</w:t>
      </w:r>
      <w:r>
        <w:rPr>
          <w:rFonts w:ascii="宋体" w:hAnsi="宋体"/>
          <w:b/>
          <w:sz w:val="24"/>
          <w:szCs w:val="24"/>
        </w:rPr>
        <w:t>、</w:t>
      </w:r>
      <w:r>
        <w:rPr>
          <w:rFonts w:hint="eastAsia" w:ascii="宋体" w:hAnsi="宋体"/>
          <w:b/>
          <w:sz w:val="24"/>
          <w:szCs w:val="24"/>
        </w:rPr>
        <w:t>项目预算</w:t>
      </w:r>
      <w:bookmarkStart w:id="0" w:name="_GoBack"/>
      <w:bookmarkEnd w:id="0"/>
    </w:p>
    <w:p>
      <w:pPr>
        <w:autoSpaceDE w:val="0"/>
        <w:autoSpaceDN w:val="0"/>
        <w:adjustRightInd w:val="0"/>
        <w:spacing w:line="480" w:lineRule="exact"/>
        <w:ind w:firstLine="480" w:firstLineChars="200"/>
        <w:rPr>
          <w:rFonts w:hint="default" w:ascii="宋体" w:hAnsi="Arial" w:cs="宋体"/>
          <w:kern w:val="0"/>
          <w:sz w:val="24"/>
          <w:szCs w:val="24"/>
          <w:lang w:val="en-US" w:eastAsia="zh-CN"/>
        </w:rPr>
      </w:pPr>
      <w:r>
        <w:rPr>
          <w:rFonts w:hint="eastAsia" w:ascii="宋体" w:hAnsi="Arial" w:cs="宋体"/>
          <w:kern w:val="0"/>
          <w:sz w:val="24"/>
          <w:szCs w:val="24"/>
          <w:lang w:val="en-US" w:eastAsia="zh-CN"/>
        </w:rPr>
        <w:t>本次需求调查内容包括设备详细参数及金额，供应商应当根据已提供的设备简易参数去制定详细参数及金额。</w:t>
      </w:r>
    </w:p>
    <w:p>
      <w:pPr>
        <w:autoSpaceDE w:val="0"/>
        <w:autoSpaceDN w:val="0"/>
        <w:adjustRightInd w:val="0"/>
        <w:spacing w:line="480" w:lineRule="exact"/>
        <w:ind w:firstLine="482" w:firstLineChars="200"/>
        <w:rPr>
          <w:rFonts w:ascii="宋体" w:hAnsi="宋体"/>
          <w:b/>
          <w:sz w:val="24"/>
          <w:szCs w:val="24"/>
        </w:rPr>
      </w:pPr>
      <w:r>
        <w:rPr>
          <w:rFonts w:hint="eastAsia" w:ascii="宋体" w:hAnsi="宋体"/>
          <w:b/>
          <w:sz w:val="24"/>
          <w:szCs w:val="24"/>
        </w:rPr>
        <w:t>三</w:t>
      </w:r>
      <w:r>
        <w:rPr>
          <w:rFonts w:ascii="宋体" w:hAnsi="宋体"/>
          <w:b/>
          <w:sz w:val="24"/>
          <w:szCs w:val="24"/>
        </w:rPr>
        <w:t>、</w:t>
      </w:r>
      <w:r>
        <w:rPr>
          <w:rFonts w:hint="eastAsia" w:ascii="宋体" w:hAnsi="宋体"/>
          <w:b/>
          <w:sz w:val="24"/>
          <w:szCs w:val="24"/>
        </w:rPr>
        <w:t>供应商资格要求：</w:t>
      </w:r>
    </w:p>
    <w:p>
      <w:pPr>
        <w:spacing w:line="480" w:lineRule="exact"/>
        <w:ind w:firstLine="482" w:firstLineChars="200"/>
        <w:rPr>
          <w:rFonts w:ascii="宋体" w:hAnsi="宋体"/>
          <w:b/>
          <w:sz w:val="24"/>
          <w:szCs w:val="24"/>
        </w:rPr>
      </w:pPr>
      <w:r>
        <w:rPr>
          <w:rFonts w:hint="eastAsia" w:ascii="宋体" w:hAnsi="宋体"/>
          <w:b/>
          <w:sz w:val="24"/>
          <w:szCs w:val="24"/>
        </w:rPr>
        <w:t>1.投标人应具备《中华人民共和国政府采购法》 第二十二条规定的条件， 提供下列材料：</w:t>
      </w:r>
    </w:p>
    <w:p>
      <w:pPr>
        <w:spacing w:line="480" w:lineRule="exact"/>
        <w:ind w:firstLine="480" w:firstLineChars="200"/>
        <w:rPr>
          <w:rFonts w:ascii="宋体" w:hAnsi="宋体" w:cs="宋体"/>
          <w:sz w:val="24"/>
          <w:szCs w:val="24"/>
        </w:rPr>
      </w:pPr>
      <w:r>
        <w:rPr>
          <w:rFonts w:hint="eastAsia" w:ascii="宋体" w:hAnsi="宋体"/>
          <w:sz w:val="24"/>
          <w:szCs w:val="24"/>
        </w:rPr>
        <w:t>1）</w:t>
      </w:r>
      <w:r>
        <w:rPr>
          <w:rFonts w:hint="eastAsia" w:ascii="宋体" w:hAnsi="宋体"/>
          <w:b/>
          <w:sz w:val="24"/>
          <w:szCs w:val="24"/>
        </w:rPr>
        <w:t>具有独立承担民事责任的能力：</w:t>
      </w:r>
      <w:r>
        <w:rPr>
          <w:rFonts w:hint="eastAsia" w:ascii="宋体" w:hAnsi="宋体"/>
          <w:sz w:val="24"/>
          <w:szCs w:val="24"/>
        </w:rPr>
        <w:t>在中华人民共和国境内注册的法人或其他组织或自然人，投标（响应）时提交有效的营业执照（或事业法人登记证或身份证等相关证明）副本复印件。若分支机构投标的，应当取得总公司（总所）出具给分支机构的有效授权，并同时提供总公司（总所）的营业执照、总公司（总所）出具给分支机构的有效授权书及分支机构的营业执照复印件。</w:t>
      </w:r>
    </w:p>
    <w:p>
      <w:pPr>
        <w:spacing w:line="480" w:lineRule="exact"/>
        <w:ind w:firstLine="482" w:firstLineChars="200"/>
        <w:rPr>
          <w:rFonts w:ascii="宋体" w:hAnsi="宋体"/>
          <w:sz w:val="24"/>
          <w:szCs w:val="24"/>
        </w:rPr>
      </w:pPr>
      <w:r>
        <w:rPr>
          <w:rFonts w:hint="eastAsia" w:ascii="宋体" w:hAnsi="宋体"/>
          <w:b/>
          <w:sz w:val="24"/>
          <w:szCs w:val="24"/>
        </w:rPr>
        <w:t>2）有依法缴纳税收和社会保障资金的良好记录：</w:t>
      </w:r>
      <w:r>
        <w:rPr>
          <w:rFonts w:hint="eastAsia" w:ascii="宋体" w:hAnsi="宋体"/>
          <w:sz w:val="24"/>
          <w:szCs w:val="24"/>
        </w:rPr>
        <w:t>提供2023年1月至今任意1个月的依法缴纳税收和社会保障资金的相关材料复印件；如依法免税或不需要缴纳社会保障资金的，应当提供相应证明文件复印件。</w:t>
      </w:r>
    </w:p>
    <w:p>
      <w:pPr>
        <w:spacing w:line="480" w:lineRule="exact"/>
        <w:ind w:firstLine="482" w:firstLineChars="200"/>
        <w:rPr>
          <w:rFonts w:ascii="宋体" w:hAnsi="宋体"/>
          <w:sz w:val="24"/>
          <w:szCs w:val="24"/>
        </w:rPr>
      </w:pPr>
      <w:r>
        <w:rPr>
          <w:rFonts w:hint="eastAsia" w:ascii="宋体" w:hAnsi="宋体"/>
          <w:b/>
          <w:sz w:val="24"/>
          <w:szCs w:val="24"/>
        </w:rPr>
        <w:t>3）具有良好的商业信誉和健全的财务会计制度：</w:t>
      </w:r>
      <w:r>
        <w:rPr>
          <w:rFonts w:hint="eastAsia" w:ascii="宋体" w:hAnsi="宋体"/>
          <w:sz w:val="24"/>
          <w:szCs w:val="24"/>
        </w:rPr>
        <w:t>提供2022年度或2023年1月至今任意1个月的财务状况报告或银行出具的资信证明复印件。</w:t>
      </w:r>
    </w:p>
    <w:p>
      <w:pPr>
        <w:spacing w:line="480" w:lineRule="exact"/>
        <w:ind w:firstLine="482" w:firstLineChars="200"/>
        <w:rPr>
          <w:rFonts w:ascii="宋体" w:hAnsi="宋体"/>
          <w:sz w:val="24"/>
          <w:szCs w:val="24"/>
        </w:rPr>
      </w:pPr>
      <w:r>
        <w:rPr>
          <w:rFonts w:hint="eastAsia" w:ascii="宋体" w:hAnsi="宋体"/>
          <w:b/>
          <w:sz w:val="24"/>
          <w:szCs w:val="24"/>
        </w:rPr>
        <w:t>4）履行合同所必须的设备和专业技术能力：</w:t>
      </w:r>
      <w:r>
        <w:rPr>
          <w:rFonts w:hint="eastAsia" w:ascii="宋体" w:hAnsi="宋体"/>
          <w:sz w:val="24"/>
          <w:szCs w:val="24"/>
        </w:rPr>
        <w:t>按投标（响应）文件格式填报设备及专业技术能力情况。</w:t>
      </w:r>
    </w:p>
    <w:p>
      <w:pPr>
        <w:spacing w:line="480" w:lineRule="exact"/>
        <w:ind w:firstLine="482" w:firstLineChars="200"/>
        <w:rPr>
          <w:rFonts w:ascii="宋体" w:hAnsi="宋体"/>
          <w:sz w:val="24"/>
          <w:szCs w:val="24"/>
        </w:rPr>
      </w:pPr>
      <w:r>
        <w:rPr>
          <w:rFonts w:hint="eastAsia" w:ascii="宋体" w:hAnsi="宋体"/>
          <w:b/>
          <w:sz w:val="24"/>
          <w:szCs w:val="24"/>
        </w:rPr>
        <w:t>5）参加采购活动前3年内， 在经营活动中没有重大违法记录：</w:t>
      </w:r>
      <w:r>
        <w:rPr>
          <w:rFonts w:hint="eastAsia" w:ascii="宋体" w:hAnsi="宋体"/>
          <w:sz w:val="24"/>
          <w:szCs w:val="24"/>
        </w:rPr>
        <w:t>参照投标（报价）函相关承诺格式内容。重大违法记录，是指供应商因违法经营受到刑事处罚或者责令停产停业、吊销许可证或者执照、较大数额罚款等行政处罚。</w:t>
      </w:r>
      <w:r>
        <w:rPr>
          <w:rFonts w:ascii="宋体" w:hAnsi="宋体"/>
          <w:sz w:val="24"/>
          <w:szCs w:val="24"/>
        </w:rPr>
        <w:t>（较大数额罚款按照《财政部关于&lt;中华人民共和国政府采购法实施条例&gt;第十九条第一款“较大数额罚款”具体适用问题的意见》（财库〔2022〕3号）执行）</w:t>
      </w:r>
    </w:p>
    <w:p>
      <w:pPr>
        <w:spacing w:line="480" w:lineRule="exact"/>
        <w:ind w:firstLine="482" w:firstLineChars="200"/>
        <w:rPr>
          <w:rFonts w:ascii="宋体" w:hAnsi="宋体"/>
          <w:b/>
          <w:sz w:val="24"/>
          <w:szCs w:val="24"/>
        </w:rPr>
      </w:pPr>
      <w:r>
        <w:rPr>
          <w:rFonts w:hint="eastAsia" w:ascii="宋体" w:hAnsi="宋体"/>
          <w:b/>
          <w:sz w:val="24"/>
          <w:szCs w:val="24"/>
        </w:rPr>
        <w:t>2.落实政府采购政策需满足的资格要求：</w:t>
      </w:r>
    </w:p>
    <w:p>
      <w:pPr>
        <w:spacing w:line="480" w:lineRule="exact"/>
        <w:ind w:firstLine="480" w:firstLineChars="200"/>
        <w:rPr>
          <w:rFonts w:ascii="宋体" w:hAnsi="宋体"/>
          <w:sz w:val="24"/>
          <w:szCs w:val="24"/>
        </w:rPr>
      </w:pPr>
      <w:r>
        <w:rPr>
          <w:rFonts w:hint="eastAsia" w:ascii="宋体" w:hAnsi="宋体"/>
          <w:sz w:val="24"/>
          <w:szCs w:val="24"/>
        </w:rPr>
        <w:t>采购包1（</w:t>
      </w:r>
      <w:r>
        <w:rPr>
          <w:rFonts w:hint="eastAsia" w:ascii="宋体" w:hAnsi="Arial" w:eastAsia="宋体" w:cs="宋体"/>
          <w:kern w:val="0"/>
          <w:sz w:val="24"/>
          <w:szCs w:val="24"/>
          <w:lang w:val="en-US" w:eastAsia="zh-CN"/>
        </w:rPr>
        <w:t>鹤山工业城管理委员会养老中心医疗康复设备采购项目</w:t>
      </w:r>
      <w:r>
        <w:rPr>
          <w:rFonts w:hint="eastAsia" w:ascii="宋体" w:hAnsi="宋体"/>
          <w:sz w:val="24"/>
          <w:szCs w:val="24"/>
        </w:rPr>
        <w:t>）：本项目不属于专门面向中小企业采购的项目。</w:t>
      </w:r>
    </w:p>
    <w:p>
      <w:pPr>
        <w:spacing w:line="480" w:lineRule="exact"/>
        <w:ind w:firstLine="482" w:firstLineChars="200"/>
        <w:rPr>
          <w:rFonts w:ascii="宋体" w:hAnsi="宋体"/>
          <w:b/>
          <w:sz w:val="24"/>
          <w:szCs w:val="24"/>
        </w:rPr>
      </w:pPr>
      <w:r>
        <w:rPr>
          <w:rFonts w:hint="eastAsia" w:ascii="宋体" w:hAnsi="宋体"/>
          <w:b/>
          <w:sz w:val="24"/>
          <w:szCs w:val="24"/>
        </w:rPr>
        <w:t>3.本项目特定的资格要求：</w:t>
      </w:r>
    </w:p>
    <w:p>
      <w:pPr>
        <w:spacing w:line="480" w:lineRule="exact"/>
        <w:ind w:firstLine="480" w:firstLineChars="200"/>
        <w:rPr>
          <w:rFonts w:ascii="宋体" w:hAnsi="宋体"/>
          <w:sz w:val="24"/>
          <w:szCs w:val="24"/>
        </w:rPr>
      </w:pPr>
      <w:r>
        <w:rPr>
          <w:rFonts w:hint="eastAsia" w:ascii="宋体" w:hAnsi="宋体"/>
          <w:sz w:val="24"/>
          <w:szCs w:val="24"/>
        </w:rPr>
        <w:t>采购包1（</w:t>
      </w:r>
      <w:r>
        <w:rPr>
          <w:rFonts w:hint="eastAsia" w:asciiTheme="minorEastAsia" w:hAnsiTheme="minorEastAsia" w:eastAsiaTheme="minorEastAsia"/>
          <w:sz w:val="24"/>
          <w:szCs w:val="24"/>
          <w:lang w:eastAsia="zh-CN"/>
        </w:rPr>
        <w:t>开平市中医院制剂室设备采购项目项目</w:t>
      </w:r>
      <w:r>
        <w:rPr>
          <w:rFonts w:hint="eastAsia" w:ascii="宋体" w:hAnsi="宋体"/>
          <w:sz w:val="24"/>
          <w:szCs w:val="24"/>
        </w:rPr>
        <w:t>）：</w:t>
      </w:r>
    </w:p>
    <w:p>
      <w:pPr>
        <w:spacing w:line="480" w:lineRule="exact"/>
        <w:ind w:firstLine="480" w:firstLineChars="200"/>
        <w:rPr>
          <w:rFonts w:ascii="宋体" w:hAnsi="宋体"/>
          <w:sz w:val="24"/>
          <w:szCs w:val="24"/>
        </w:rPr>
      </w:pPr>
      <w:r>
        <w:rPr>
          <w:rFonts w:hint="eastAsia" w:ascii="宋体" w:hAnsi="宋体"/>
          <w:sz w:val="24"/>
          <w:szCs w:val="24"/>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hAnsi="宋体"/>
          <w:sz w:val="24"/>
          <w:szCs w:val="24"/>
        </w:rPr>
        <w:t>。</w:t>
      </w:r>
      <w:r>
        <w:rPr>
          <w:rFonts w:hint="eastAsia" w:ascii="宋体" w:hAnsi="宋体"/>
          <w:sz w:val="24"/>
          <w:szCs w:val="24"/>
        </w:rPr>
        <w:t>（以投标（响应）截止时间当天采购代理机构通过“信用中国”网站（www.creditchina.gov.cn）、中国政府采购网（www.ccgp.gov.cn）查询供应商信用记录为准，如相关失信记录已失效，应当提供相应证明文件复印件）</w:t>
      </w:r>
    </w:p>
    <w:p>
      <w:pPr>
        <w:spacing w:line="480" w:lineRule="exact"/>
        <w:ind w:firstLine="480" w:firstLineChars="200"/>
        <w:rPr>
          <w:rFonts w:hint="eastAsia" w:cs="Times New Roman" w:asciiTheme="minorEastAsia" w:hAnsiTheme="minorEastAsia" w:eastAsiaTheme="minorEastAsia"/>
          <w:sz w:val="24"/>
          <w:szCs w:val="24"/>
        </w:rPr>
      </w:pPr>
      <w:r>
        <w:rPr>
          <w:rFonts w:hint="eastAsia" w:ascii="宋体" w:hAnsi="宋体"/>
          <w:sz w:val="24"/>
          <w:szCs w:val="24"/>
        </w:rPr>
        <w:t>2）</w:t>
      </w:r>
      <w:r>
        <w:rPr>
          <w:rFonts w:asciiTheme="minorEastAsia" w:hAnsiTheme="minorEastAsia" w:eastAsiaTheme="minorEastAsia"/>
          <w:sz w:val="24"/>
          <w:szCs w:val="24"/>
        </w:rPr>
        <w:t>单位负责人为同一人或者存在直接控股、管理关系的不同供应商，不得同时参加本采购项目（或采购包）投标（响应）。为本项目提供整体设计、规范编制或者项目管理、监理、检测等服务的供应商，不得再参与本项目投标（响应）。</w:t>
      </w:r>
      <w:r>
        <w:rPr>
          <w:rFonts w:cs="Times New Roman" w:asciiTheme="minorEastAsia" w:hAnsiTheme="minorEastAsia" w:eastAsiaTheme="minorEastAsia"/>
          <w:sz w:val="24"/>
          <w:szCs w:val="24"/>
        </w:rPr>
        <w:t>投标（报价）函相关承诺要求内容</w:t>
      </w:r>
      <w:r>
        <w:rPr>
          <w:rFonts w:hint="eastAsia" w:cs="Times New Roman" w:asciiTheme="minorEastAsia" w:hAnsiTheme="minorEastAsia" w:eastAsiaTheme="minorEastAsia"/>
          <w:sz w:val="24"/>
          <w:szCs w:val="24"/>
        </w:rPr>
        <w:t>。</w:t>
      </w:r>
    </w:p>
    <w:p>
      <w:pPr>
        <w:spacing w:line="480" w:lineRule="exact"/>
        <w:ind w:firstLine="480" w:firstLineChars="200"/>
        <w:rPr>
          <w:rFonts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lang w:val="en-US" w:eastAsia="zh-CN"/>
        </w:rPr>
        <w:t>3）</w:t>
      </w:r>
      <w:r>
        <w:rPr>
          <w:rFonts w:cs="Times New Roman" w:asciiTheme="minorEastAsia" w:hAnsiTheme="minorEastAsia" w:eastAsiaTheme="minorEastAsia"/>
          <w:sz w:val="24"/>
          <w:szCs w:val="24"/>
        </w:rPr>
        <w:t>投标人应当具有第二类医疗器械经营备案凭证（经营Ⅱ类医疗器械的投标人需具有）或者《医疗器械经营许可证》（经营Ⅲ类医疗器械的投标人需具有），经营范围应当涵盖所投报医疗器械的所属类别；（医疗器械注册人、备案人在其住所或者生产地址销售其注册、备案的医疗器械的除外）。</w:t>
      </w:r>
    </w:p>
    <w:p>
      <w:pPr>
        <w:spacing w:line="480" w:lineRule="exact"/>
        <w:ind w:firstLine="480" w:firstLineChars="200"/>
        <w:rPr>
          <w:rFonts w:hint="eastAsia" w:cs="Times New Roman" w:asciiTheme="minorEastAsia" w:hAnsiTheme="minorEastAsia" w:eastAsiaTheme="minorEastAsia"/>
          <w:sz w:val="24"/>
          <w:szCs w:val="24"/>
          <w:lang w:val="en-US" w:eastAsia="zh-CN"/>
        </w:rPr>
      </w:pPr>
      <w:r>
        <w:rPr>
          <w:rFonts w:hint="eastAsia" w:cs="Times New Roman" w:asciiTheme="minorEastAsia" w:hAnsiTheme="minorEastAsia" w:eastAsiaTheme="minorEastAsia"/>
          <w:sz w:val="24"/>
          <w:szCs w:val="24"/>
          <w:lang w:val="en-US" w:eastAsia="zh-CN"/>
        </w:rPr>
        <w:t>4</w:t>
      </w:r>
      <w:r>
        <w:rPr>
          <w:rFonts w:cs="Times New Roman" w:asciiTheme="minorEastAsia" w:hAnsiTheme="minorEastAsia" w:eastAsiaTheme="minorEastAsia"/>
          <w:sz w:val="24"/>
          <w:szCs w:val="24"/>
        </w:rPr>
        <w:t>)投标人所投报的医疗器械应当是具有《医疗器械注册证》的产品</w:t>
      </w:r>
    </w:p>
    <w:p>
      <w:pPr>
        <w:spacing w:line="480" w:lineRule="exact"/>
        <w:ind w:firstLine="480" w:firstLineChars="200"/>
        <w:rPr>
          <w:rFonts w:ascii="宋体" w:hAnsi="宋体"/>
          <w:b/>
          <w:strike/>
          <w:sz w:val="24"/>
          <w:szCs w:val="24"/>
        </w:rPr>
      </w:pPr>
      <w:r>
        <w:rPr>
          <w:rFonts w:hint="eastAsia" w:ascii="宋体" w:hAnsi="宋体"/>
          <w:sz w:val="24"/>
          <w:szCs w:val="24"/>
          <w:lang w:val="en-US" w:eastAsia="zh-CN"/>
        </w:rPr>
        <w:t>5</w:t>
      </w:r>
      <w:r>
        <w:rPr>
          <w:rFonts w:hint="eastAsia" w:ascii="宋体" w:hAnsi="宋体"/>
          <w:sz w:val="24"/>
          <w:szCs w:val="24"/>
        </w:rPr>
        <w:t>）</w:t>
      </w:r>
      <w:r>
        <w:rPr>
          <w:rFonts w:hint="eastAsia" w:asciiTheme="minorEastAsia" w:hAnsiTheme="minorEastAsia" w:eastAsiaTheme="minorEastAsia"/>
          <w:sz w:val="24"/>
          <w:szCs w:val="24"/>
        </w:rPr>
        <w:t>本</w:t>
      </w:r>
      <w:r>
        <w:rPr>
          <w:rFonts w:hint="eastAsia" w:ascii="宋体" w:hAnsi="宋体"/>
          <w:sz w:val="24"/>
          <w:szCs w:val="24"/>
        </w:rPr>
        <w:t>采购包</w:t>
      </w:r>
      <w:r>
        <w:rPr>
          <w:rFonts w:hint="eastAsia" w:asciiTheme="minorEastAsia" w:hAnsiTheme="minorEastAsia" w:eastAsiaTheme="minorEastAsia"/>
          <w:sz w:val="24"/>
          <w:szCs w:val="24"/>
        </w:rPr>
        <w:t>不接受联合体投标</w:t>
      </w:r>
      <w:r>
        <w:rPr>
          <w:rFonts w:asciiTheme="minorEastAsia" w:hAnsiTheme="minorEastAsia" w:eastAsiaTheme="minorEastAsia"/>
          <w:sz w:val="24"/>
          <w:szCs w:val="24"/>
        </w:rPr>
        <w:t>（响应）</w:t>
      </w:r>
      <w:r>
        <w:rPr>
          <w:rFonts w:hint="eastAsia" w:asciiTheme="minorEastAsia" w:hAnsiTheme="minorEastAsia" w:eastAsiaTheme="minorEastAsia"/>
          <w:sz w:val="24"/>
          <w:szCs w:val="24"/>
        </w:rPr>
        <w:t>。</w:t>
      </w:r>
    </w:p>
    <w:p>
      <w:pPr>
        <w:autoSpaceDE w:val="0"/>
        <w:autoSpaceDN w:val="0"/>
        <w:adjustRightInd w:val="0"/>
        <w:spacing w:line="480" w:lineRule="exact"/>
        <w:ind w:firstLine="482" w:firstLineChars="200"/>
        <w:rPr>
          <w:rFonts w:hint="default" w:ascii="宋体" w:hAnsi="宋体" w:eastAsia="宋体"/>
          <w:b/>
          <w:sz w:val="24"/>
          <w:szCs w:val="24"/>
          <w:lang w:val="en-US" w:eastAsia="zh-CN"/>
        </w:rPr>
      </w:pPr>
      <w:r>
        <w:rPr>
          <w:rFonts w:hint="eastAsia" w:ascii="宋体" w:hAnsi="宋体"/>
          <w:b/>
          <w:sz w:val="24"/>
          <w:szCs w:val="24"/>
        </w:rPr>
        <w:t>四</w:t>
      </w:r>
      <w:r>
        <w:rPr>
          <w:rFonts w:ascii="宋体" w:hAnsi="宋体"/>
          <w:b/>
          <w:sz w:val="24"/>
          <w:szCs w:val="24"/>
        </w:rPr>
        <w:t>、</w:t>
      </w:r>
      <w:r>
        <w:rPr>
          <w:rFonts w:hint="eastAsia" w:ascii="宋体" w:hAnsi="宋体"/>
          <w:b/>
          <w:sz w:val="24"/>
          <w:szCs w:val="24"/>
          <w:lang w:val="en-US" w:eastAsia="zh-CN"/>
        </w:rPr>
        <w:t>设备参数</w:t>
      </w:r>
    </w:p>
    <w:p>
      <w:pPr>
        <w:spacing w:line="480" w:lineRule="exact"/>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w:t>
      </w:r>
      <w:r>
        <w:rPr>
          <w:rFonts w:hint="eastAsia" w:asciiTheme="minorEastAsia" w:hAnsiTheme="minorEastAsia" w:eastAsiaTheme="minorEastAsia"/>
          <w:b/>
          <w:sz w:val="24"/>
          <w:szCs w:val="24"/>
          <w:lang w:val="en-US" w:eastAsia="zh-CN"/>
        </w:rPr>
        <w:t>一</w:t>
      </w:r>
      <w:r>
        <w:rPr>
          <w:rFonts w:hint="eastAsia" w:asciiTheme="minorEastAsia" w:hAnsiTheme="minorEastAsia" w:eastAsiaTheme="minorEastAsia"/>
          <w:b/>
          <w:sz w:val="24"/>
          <w:szCs w:val="24"/>
        </w:rPr>
        <w:t>）</w:t>
      </w:r>
      <w:r>
        <w:rPr>
          <w:rFonts w:hint="eastAsia" w:asciiTheme="minorEastAsia" w:hAnsiTheme="minorEastAsia" w:eastAsiaTheme="minorEastAsia"/>
          <w:b/>
          <w:sz w:val="24"/>
          <w:szCs w:val="24"/>
          <w:lang w:val="en-US" w:eastAsia="zh-CN"/>
        </w:rPr>
        <w:t>简易</w:t>
      </w:r>
      <w:r>
        <w:rPr>
          <w:rFonts w:hint="eastAsia" w:asciiTheme="minorEastAsia" w:hAnsiTheme="minorEastAsia" w:eastAsiaTheme="minorEastAsia"/>
          <w:b/>
          <w:sz w:val="24"/>
          <w:szCs w:val="24"/>
        </w:rPr>
        <w:t>技术参数需求</w:t>
      </w:r>
    </w:p>
    <w:tbl>
      <w:tblPr>
        <w:tblStyle w:val="33"/>
        <w:tblW w:w="819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4"/>
        <w:gridCol w:w="1626"/>
        <w:gridCol w:w="3231"/>
        <w:gridCol w:w="1395"/>
        <w:gridCol w:w="9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1024" w:type="dxa"/>
            <w:vAlign w:val="center"/>
          </w:tcPr>
          <w:p>
            <w:pPr>
              <w:spacing w:before="91" w:line="219" w:lineRule="auto"/>
              <w:jc w:val="center"/>
              <w:rPr>
                <w:rFonts w:ascii="宋体" w:hAnsi="宋体" w:eastAsia="宋体" w:cs="宋体"/>
                <w:spacing w:val="3"/>
                <w:sz w:val="28"/>
                <w:szCs w:val="28"/>
              </w:rPr>
            </w:pPr>
            <w:r>
              <w:rPr>
                <w:rFonts w:ascii="宋体" w:hAnsi="宋体" w:eastAsia="宋体" w:cs="宋体"/>
                <w:spacing w:val="3"/>
                <w:sz w:val="28"/>
                <w:szCs w:val="28"/>
              </w:rPr>
              <w:t>序号</w:t>
            </w:r>
          </w:p>
        </w:tc>
        <w:tc>
          <w:tcPr>
            <w:tcW w:w="1626"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设备</w:t>
            </w:r>
            <w:r>
              <w:rPr>
                <w:rFonts w:ascii="宋体" w:hAnsi="宋体" w:eastAsia="宋体" w:cs="宋体"/>
                <w:spacing w:val="3"/>
                <w:sz w:val="28"/>
                <w:szCs w:val="28"/>
              </w:rPr>
              <w:t>名称</w:t>
            </w:r>
          </w:p>
        </w:tc>
        <w:tc>
          <w:tcPr>
            <w:tcW w:w="3231" w:type="dxa"/>
            <w:vAlign w:val="center"/>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简易参数</w:t>
            </w:r>
          </w:p>
        </w:tc>
        <w:tc>
          <w:tcPr>
            <w:tcW w:w="1395"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预采购</w:t>
            </w:r>
            <w:r>
              <w:rPr>
                <w:rFonts w:ascii="宋体" w:hAnsi="宋体" w:eastAsia="宋体" w:cs="宋体"/>
                <w:spacing w:val="3"/>
                <w:sz w:val="28"/>
                <w:szCs w:val="28"/>
              </w:rPr>
              <w:t>设备数量</w:t>
            </w:r>
          </w:p>
        </w:tc>
        <w:tc>
          <w:tcPr>
            <w:tcW w:w="915" w:type="dxa"/>
            <w:vAlign w:val="center"/>
          </w:tcPr>
          <w:p>
            <w:pPr>
              <w:spacing w:before="91" w:line="219" w:lineRule="auto"/>
              <w:jc w:val="center"/>
              <w:rPr>
                <w:rFonts w:ascii="宋体" w:hAnsi="宋体" w:eastAsia="宋体" w:cs="宋体"/>
                <w:spacing w:val="3"/>
                <w:sz w:val="28"/>
                <w:szCs w:val="28"/>
              </w:rPr>
            </w:pPr>
            <w:r>
              <w:rPr>
                <w:rFonts w:ascii="宋体" w:hAnsi="宋体" w:eastAsia="宋体" w:cs="宋体"/>
                <w:spacing w:val="3"/>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024" w:type="dxa"/>
            <w:vAlign w:val="top"/>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w:t>
            </w:r>
          </w:p>
        </w:tc>
        <w:tc>
          <w:tcPr>
            <w:tcW w:w="1626"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红外线治疗仪</w:t>
            </w:r>
          </w:p>
        </w:tc>
        <w:tc>
          <w:tcPr>
            <w:tcW w:w="3231" w:type="dxa"/>
            <w:vAlign w:val="top"/>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性能及技术参数：采用高效卤素光源作为照射灯头可三维调节并实现任意定位。波长0.4μm~1.4μm，输入功率a.c.220V,50Hz;治疗时间1min~99min内可调</w:t>
            </w:r>
          </w:p>
        </w:tc>
        <w:tc>
          <w:tcPr>
            <w:tcW w:w="1395"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4台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2</w:t>
            </w:r>
          </w:p>
        </w:tc>
        <w:tc>
          <w:tcPr>
            <w:tcW w:w="1626"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4线中频治疗仪</w:t>
            </w:r>
          </w:p>
        </w:tc>
        <w:tc>
          <w:tcPr>
            <w:tcW w:w="3231" w:type="dxa"/>
            <w:vAlign w:val="top"/>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性能及技术参数：微电脑控制技术，中、大规模集成电路组成。使用温度5℃~40℃，输出电流0~1000mA可调，动态节律4S~10S,热电极温度40℃~45℃</w:t>
            </w:r>
          </w:p>
        </w:tc>
        <w:tc>
          <w:tcPr>
            <w:tcW w:w="1395"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2台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3</w:t>
            </w:r>
          </w:p>
        </w:tc>
        <w:tc>
          <w:tcPr>
            <w:tcW w:w="1626"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4线神经损伤治疗仪</w:t>
            </w:r>
          </w:p>
        </w:tc>
        <w:tc>
          <w:tcPr>
            <w:tcW w:w="3231" w:type="dxa"/>
            <w:vAlign w:val="top"/>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性能及技术参数：包括输出波形、输出频率、脉冲宽度和调制波脉宽、输出强度、毫针、定时时间、连续工作时间,3路输出，第I档输出脉冲频率维500HZ，第II档输出频率为0.5HZ~5HZ</w:t>
            </w:r>
          </w:p>
        </w:tc>
        <w:tc>
          <w:tcPr>
            <w:tcW w:w="1395"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1台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4</w:t>
            </w:r>
          </w:p>
        </w:tc>
        <w:tc>
          <w:tcPr>
            <w:tcW w:w="1626"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经皮神经电刺激</w:t>
            </w:r>
          </w:p>
        </w:tc>
        <w:tc>
          <w:tcPr>
            <w:tcW w:w="3231" w:type="dxa"/>
            <w:vAlign w:val="top"/>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主要性能及技术参数：特定的低频脉冲电流治疗，有连续输出、快速续断和慢速断续。使用电源交流220V，电源频率50Hz，输入功率25VA。</w:t>
            </w:r>
          </w:p>
        </w:tc>
        <w:tc>
          <w:tcPr>
            <w:tcW w:w="1395"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1台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5</w:t>
            </w:r>
          </w:p>
        </w:tc>
        <w:tc>
          <w:tcPr>
            <w:tcW w:w="1626"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腰椎牵引床</w:t>
            </w:r>
          </w:p>
        </w:tc>
        <w:tc>
          <w:tcPr>
            <w:tcW w:w="3231" w:type="dxa"/>
            <w:vAlign w:val="top"/>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主要性能及技术参数：腰椎牵引力：0-999N连续可调，牵引总时间：0-99min连续可调，持续牵引时间：0-9min连续可调间歇牵引时间：0-9min连续可调</w:t>
            </w:r>
          </w:p>
        </w:tc>
        <w:tc>
          <w:tcPr>
            <w:tcW w:w="1395"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1张</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6</w:t>
            </w:r>
          </w:p>
        </w:tc>
        <w:tc>
          <w:tcPr>
            <w:tcW w:w="1626"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中药智能仪（双喷头）</w:t>
            </w:r>
          </w:p>
        </w:tc>
        <w:tc>
          <w:tcPr>
            <w:tcW w:w="3231" w:type="dxa"/>
            <w:vAlign w:val="top"/>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电源AC220V+-22V,电源频率50Hz+-1Hz，输入功率2000VA，时间范围控制1~99min，工作噪声小于65bD。</w:t>
            </w:r>
          </w:p>
        </w:tc>
        <w:tc>
          <w:tcPr>
            <w:tcW w:w="1395"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1台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7</w:t>
            </w:r>
          </w:p>
        </w:tc>
        <w:tc>
          <w:tcPr>
            <w:tcW w:w="1626"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子午流注治疗仪</w:t>
            </w:r>
          </w:p>
        </w:tc>
        <w:tc>
          <w:tcPr>
            <w:tcW w:w="3231" w:type="dxa"/>
            <w:vAlign w:val="top"/>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性能及参数：电气性能输出波形，输出电压有效值500欧负载不大于20V，脉冲频率15档可调，组合频率功能，脉冲宽度不大于0.8MS</w:t>
            </w:r>
          </w:p>
        </w:tc>
        <w:tc>
          <w:tcPr>
            <w:tcW w:w="1395"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1台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8</w:t>
            </w:r>
          </w:p>
        </w:tc>
        <w:tc>
          <w:tcPr>
            <w:tcW w:w="1626"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lang w:val="en-US" w:eastAsia="zh-CN"/>
              </w:rPr>
              <w:t>PT床（医疗诊疗床）</w:t>
            </w:r>
          </w:p>
        </w:tc>
        <w:tc>
          <w:tcPr>
            <w:tcW w:w="3231" w:type="dxa"/>
            <w:vAlign w:val="top"/>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约2.1米×1.25米，可电动升降</w:t>
            </w:r>
          </w:p>
        </w:tc>
        <w:tc>
          <w:tcPr>
            <w:tcW w:w="1395" w:type="dxa"/>
            <w:vAlign w:val="top"/>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1套</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9</w:t>
            </w:r>
          </w:p>
        </w:tc>
        <w:tc>
          <w:tcPr>
            <w:tcW w:w="1626" w:type="dxa"/>
            <w:vAlign w:val="center"/>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手法升降床</w:t>
            </w:r>
          </w:p>
        </w:tc>
        <w:tc>
          <w:tcPr>
            <w:tcW w:w="3231" w:type="dxa"/>
            <w:vAlign w:val="top"/>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技术参数：1.8M*6.8M。电机升降</w:t>
            </w:r>
          </w:p>
        </w:tc>
        <w:tc>
          <w:tcPr>
            <w:tcW w:w="1395"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2张</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10</w:t>
            </w:r>
          </w:p>
        </w:tc>
        <w:tc>
          <w:tcPr>
            <w:tcW w:w="1626" w:type="dxa"/>
            <w:vAlign w:val="center"/>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超短波</w:t>
            </w:r>
          </w:p>
        </w:tc>
        <w:tc>
          <w:tcPr>
            <w:tcW w:w="3231" w:type="dxa"/>
            <w:vAlign w:val="top"/>
          </w:tcPr>
          <w:p>
            <w:pPr>
              <w:spacing w:before="91" w:line="219" w:lineRule="auto"/>
              <w:jc w:val="center"/>
              <w:rPr>
                <w:rFonts w:ascii="宋体" w:hAnsi="宋体" w:eastAsia="宋体" w:cs="宋体"/>
                <w:spacing w:val="3"/>
                <w:sz w:val="28"/>
                <w:szCs w:val="28"/>
              </w:rPr>
            </w:pPr>
            <w:r>
              <w:rPr>
                <w:rFonts w:hint="eastAsia" w:ascii="宋体" w:hAnsi="宋体" w:eastAsia="宋体" w:cs="宋体"/>
                <w:spacing w:val="3"/>
                <w:sz w:val="28"/>
                <w:szCs w:val="28"/>
              </w:rPr>
              <w:t>主要性能及参数：利用极板形式发出高频电场，自动控制病员治疗时间，输出控制四档，频率40.68MHZ，最大输出功率220W</w:t>
            </w:r>
          </w:p>
        </w:tc>
        <w:tc>
          <w:tcPr>
            <w:tcW w:w="1395"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11</w:t>
            </w:r>
          </w:p>
        </w:tc>
        <w:tc>
          <w:tcPr>
            <w:tcW w:w="1626" w:type="dxa"/>
            <w:vAlign w:val="center"/>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电动起立床</w:t>
            </w:r>
          </w:p>
        </w:tc>
        <w:tc>
          <w:tcPr>
            <w:tcW w:w="3231" w:type="dxa"/>
            <w:vAlign w:val="top"/>
          </w:tcPr>
          <w:p>
            <w:pPr>
              <w:spacing w:before="91" w:line="219" w:lineRule="auto"/>
              <w:jc w:val="center"/>
              <w:rPr>
                <w:rFonts w:hint="eastAsia" w:ascii="宋体" w:hAnsi="宋体" w:eastAsia="宋体" w:cs="宋体"/>
                <w:spacing w:val="3"/>
                <w:sz w:val="28"/>
                <w:szCs w:val="28"/>
              </w:rPr>
            </w:pPr>
            <w:r>
              <w:rPr>
                <w:rFonts w:hint="eastAsia" w:ascii="宋体" w:hAnsi="宋体" w:eastAsia="宋体" w:cs="宋体"/>
                <w:spacing w:val="3"/>
                <w:sz w:val="28"/>
                <w:szCs w:val="28"/>
              </w:rPr>
              <w:t>主要性能及参数：具有升降、起立功能。起立角度为0°~90°，电动起立踏板调节角度+25°~-25°，升降高度530~930mm,升降速为20mm/1s。</w:t>
            </w:r>
          </w:p>
        </w:tc>
        <w:tc>
          <w:tcPr>
            <w:tcW w:w="1395"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12</w:t>
            </w:r>
          </w:p>
        </w:tc>
        <w:tc>
          <w:tcPr>
            <w:tcW w:w="1626" w:type="dxa"/>
            <w:vAlign w:val="center"/>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理疗床</w:t>
            </w:r>
          </w:p>
        </w:tc>
        <w:tc>
          <w:tcPr>
            <w:tcW w:w="3231" w:type="dxa"/>
            <w:vAlign w:val="top"/>
          </w:tcPr>
          <w:p>
            <w:pPr>
              <w:spacing w:before="91" w:line="219" w:lineRule="auto"/>
              <w:jc w:val="center"/>
              <w:rPr>
                <w:rFonts w:hint="eastAsia" w:ascii="宋体" w:hAnsi="宋体" w:eastAsia="宋体" w:cs="宋体"/>
                <w:spacing w:val="3"/>
                <w:sz w:val="28"/>
                <w:szCs w:val="28"/>
              </w:rPr>
            </w:pPr>
            <w:r>
              <w:rPr>
                <w:rFonts w:hint="eastAsia" w:ascii="宋体" w:hAnsi="宋体" w:eastAsia="宋体" w:cs="宋体"/>
                <w:spacing w:val="3"/>
                <w:sz w:val="28"/>
                <w:szCs w:val="28"/>
              </w:rPr>
              <w:t>技术参数：1.8M*6.8M</w:t>
            </w:r>
          </w:p>
        </w:tc>
        <w:tc>
          <w:tcPr>
            <w:tcW w:w="1395"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10张</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13</w:t>
            </w:r>
          </w:p>
        </w:tc>
        <w:tc>
          <w:tcPr>
            <w:tcW w:w="1626" w:type="dxa"/>
            <w:vAlign w:val="center"/>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针灸机</w:t>
            </w:r>
          </w:p>
        </w:tc>
        <w:tc>
          <w:tcPr>
            <w:tcW w:w="3231" w:type="dxa"/>
            <w:vAlign w:val="top"/>
          </w:tcPr>
          <w:p>
            <w:pPr>
              <w:spacing w:before="91" w:line="219" w:lineRule="auto"/>
              <w:jc w:val="center"/>
              <w:rPr>
                <w:rFonts w:hint="eastAsia" w:ascii="宋体" w:hAnsi="宋体" w:eastAsia="宋体" w:cs="宋体"/>
                <w:spacing w:val="3"/>
                <w:sz w:val="28"/>
                <w:szCs w:val="28"/>
              </w:rPr>
            </w:pPr>
            <w:r>
              <w:rPr>
                <w:rFonts w:hint="eastAsia" w:ascii="宋体" w:hAnsi="宋体" w:eastAsia="宋体" w:cs="宋体"/>
                <w:spacing w:val="3"/>
                <w:sz w:val="28"/>
                <w:szCs w:val="28"/>
              </w:rPr>
              <w:t>主要性能及技术参数：功能连续波、疏密波、间歇波、三角波、锯齿波，连续波在250Ω负载输出最大脉冲幅度10V</w:t>
            </w:r>
          </w:p>
        </w:tc>
        <w:tc>
          <w:tcPr>
            <w:tcW w:w="1395"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4台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14</w:t>
            </w:r>
          </w:p>
        </w:tc>
        <w:tc>
          <w:tcPr>
            <w:tcW w:w="1626" w:type="dxa"/>
            <w:vAlign w:val="center"/>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超激光疼痛治疗仪</w:t>
            </w:r>
          </w:p>
        </w:tc>
        <w:tc>
          <w:tcPr>
            <w:tcW w:w="3231" w:type="dxa"/>
            <w:vAlign w:val="top"/>
          </w:tcPr>
          <w:p>
            <w:pPr>
              <w:spacing w:before="91" w:line="219" w:lineRule="auto"/>
              <w:jc w:val="center"/>
              <w:rPr>
                <w:rFonts w:hint="eastAsia" w:ascii="宋体" w:hAnsi="宋体" w:eastAsia="宋体" w:cs="宋体"/>
                <w:spacing w:val="3"/>
                <w:sz w:val="28"/>
                <w:szCs w:val="28"/>
              </w:rPr>
            </w:pPr>
            <w:r>
              <w:rPr>
                <w:rFonts w:hint="eastAsia" w:ascii="宋体" w:hAnsi="宋体" w:eastAsia="宋体" w:cs="宋体"/>
                <w:spacing w:val="3"/>
                <w:sz w:val="28"/>
                <w:szCs w:val="28"/>
              </w:rPr>
              <w:t>主要性能：在600~1600的波长范围内使用连续、间歇、T混合、P混合四种模式其中之一，透过相应探头（SG、B、C、D）进行温热治疗。技术参数：电压AC220W,频率50/60Hz,输出光德波长0.6~1.6μm</w:t>
            </w:r>
          </w:p>
        </w:tc>
        <w:tc>
          <w:tcPr>
            <w:tcW w:w="1395"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15</w:t>
            </w:r>
          </w:p>
        </w:tc>
        <w:tc>
          <w:tcPr>
            <w:tcW w:w="1626" w:type="dxa"/>
            <w:vAlign w:val="center"/>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冲击波治疗仪</w:t>
            </w:r>
          </w:p>
        </w:tc>
        <w:tc>
          <w:tcPr>
            <w:tcW w:w="3231" w:type="dxa"/>
            <w:vAlign w:val="top"/>
          </w:tcPr>
          <w:p>
            <w:pPr>
              <w:spacing w:before="91" w:line="219" w:lineRule="auto"/>
              <w:jc w:val="center"/>
              <w:rPr>
                <w:rFonts w:hint="eastAsia" w:ascii="宋体" w:hAnsi="宋体" w:eastAsia="宋体" w:cs="宋体"/>
                <w:spacing w:val="3"/>
                <w:sz w:val="28"/>
                <w:szCs w:val="28"/>
              </w:rPr>
            </w:pPr>
            <w:r>
              <w:rPr>
                <w:rFonts w:hint="eastAsia" w:ascii="宋体" w:hAnsi="宋体" w:eastAsia="宋体" w:cs="宋体"/>
                <w:spacing w:val="3"/>
                <w:sz w:val="28"/>
                <w:szCs w:val="28"/>
              </w:rPr>
              <w:t>主要性能：机械波，生物效应。技术参数输入功率：800VA,输入电源：220V-50Hz/60Hz,频率，压力和冲击次数</w:t>
            </w:r>
          </w:p>
        </w:tc>
        <w:tc>
          <w:tcPr>
            <w:tcW w:w="1395"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1台</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16</w:t>
            </w:r>
          </w:p>
        </w:tc>
        <w:tc>
          <w:tcPr>
            <w:tcW w:w="1626" w:type="dxa"/>
            <w:vAlign w:val="center"/>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诊断床</w:t>
            </w:r>
          </w:p>
        </w:tc>
        <w:tc>
          <w:tcPr>
            <w:tcW w:w="3231" w:type="dxa"/>
            <w:vAlign w:val="top"/>
          </w:tcPr>
          <w:p>
            <w:pPr>
              <w:spacing w:before="91" w:line="219" w:lineRule="auto"/>
              <w:jc w:val="center"/>
              <w:rPr>
                <w:rFonts w:hint="eastAsia" w:ascii="宋体" w:hAnsi="宋体" w:eastAsia="宋体" w:cs="宋体"/>
                <w:spacing w:val="3"/>
                <w:sz w:val="28"/>
                <w:szCs w:val="28"/>
              </w:rPr>
            </w:pPr>
            <w:r>
              <w:rPr>
                <w:rFonts w:hint="eastAsia" w:ascii="宋体" w:hAnsi="宋体" w:eastAsia="宋体" w:cs="宋体"/>
                <w:spacing w:val="3"/>
                <w:sz w:val="28"/>
                <w:szCs w:val="28"/>
              </w:rPr>
              <w:t xml:space="preserve"> (1)脚架、前档板采用优质冷扎钢板，金属表面经酸洗、磷化等化学防锈处理后，环氧树</w:t>
            </w:r>
          </w:p>
          <w:p>
            <w:pPr>
              <w:spacing w:before="91" w:line="219" w:lineRule="auto"/>
              <w:jc w:val="center"/>
              <w:rPr>
                <w:rFonts w:hint="eastAsia" w:ascii="宋体" w:hAnsi="宋体" w:eastAsia="宋体" w:cs="宋体"/>
                <w:spacing w:val="3"/>
                <w:sz w:val="28"/>
                <w:szCs w:val="28"/>
              </w:rPr>
            </w:pPr>
            <w:r>
              <w:rPr>
                <w:rFonts w:hint="eastAsia" w:ascii="宋体" w:hAnsi="宋体" w:eastAsia="宋体" w:cs="宋体"/>
                <w:spacing w:val="3"/>
                <w:sz w:val="28"/>
                <w:szCs w:val="28"/>
              </w:rPr>
              <w:t>酯高温喷涂、烤漆，喷涂后具有耐腐蚀、防火、防潮等功能；</w:t>
            </w:r>
          </w:p>
          <w:p>
            <w:pPr>
              <w:spacing w:before="91" w:line="219" w:lineRule="auto"/>
              <w:jc w:val="center"/>
              <w:rPr>
                <w:rFonts w:hint="eastAsia" w:ascii="宋体" w:hAnsi="宋体" w:eastAsia="宋体" w:cs="宋体"/>
                <w:spacing w:val="3"/>
                <w:sz w:val="28"/>
                <w:szCs w:val="28"/>
              </w:rPr>
            </w:pPr>
            <w:r>
              <w:rPr>
                <w:rFonts w:hint="eastAsia" w:ascii="宋体" w:hAnsi="宋体" w:eastAsia="宋体" w:cs="宋体"/>
                <w:spacing w:val="3"/>
                <w:sz w:val="28"/>
                <w:szCs w:val="28"/>
                <w:lang w:val="en-US" w:eastAsia="zh-CN"/>
              </w:rPr>
              <w:t>(2)</w:t>
            </w:r>
            <w:r>
              <w:rPr>
                <w:rFonts w:hint="eastAsia" w:ascii="宋体" w:hAnsi="宋体" w:eastAsia="宋体" w:cs="宋体"/>
                <w:spacing w:val="3"/>
                <w:sz w:val="28"/>
                <w:szCs w:val="28"/>
              </w:rPr>
              <w:t>配1件5公分超纤皮软包垫。</w:t>
            </w:r>
          </w:p>
          <w:p>
            <w:pPr>
              <w:spacing w:before="91" w:line="219"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w:t>
            </w:r>
            <w:r>
              <w:rPr>
                <w:rFonts w:hint="eastAsia" w:ascii="宋体" w:hAnsi="宋体" w:eastAsia="宋体" w:cs="宋体"/>
                <w:spacing w:val="3"/>
                <w:sz w:val="28"/>
                <w:szCs w:val="28"/>
                <w:lang w:val="en-US" w:eastAsia="zh-CN"/>
              </w:rPr>
              <w:t>3</w:t>
            </w:r>
            <w:r>
              <w:rPr>
                <w:rFonts w:hint="eastAsia" w:ascii="宋体" w:hAnsi="宋体" w:eastAsia="宋体" w:cs="宋体"/>
                <w:spacing w:val="3"/>
                <w:sz w:val="28"/>
                <w:szCs w:val="28"/>
                <w:lang w:eastAsia="zh-CN"/>
              </w:rPr>
              <w:t>）1900*600*600</w:t>
            </w:r>
          </w:p>
        </w:tc>
        <w:tc>
          <w:tcPr>
            <w:tcW w:w="1395"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5张</w:t>
            </w:r>
          </w:p>
        </w:tc>
        <w:tc>
          <w:tcPr>
            <w:tcW w:w="915" w:type="dxa"/>
            <w:vAlign w:val="top"/>
          </w:tcPr>
          <w:p>
            <w:pPr>
              <w:spacing w:before="91" w:line="219" w:lineRule="auto"/>
              <w:jc w:val="center"/>
              <w:rPr>
                <w:rFonts w:ascii="宋体" w:hAnsi="宋体" w:eastAsia="宋体" w:cs="宋体"/>
                <w:spacing w:val="3"/>
                <w:sz w:val="28"/>
                <w:szCs w:val="28"/>
              </w:rPr>
            </w:pPr>
          </w:p>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17</w:t>
            </w:r>
          </w:p>
        </w:tc>
        <w:tc>
          <w:tcPr>
            <w:tcW w:w="1626" w:type="dxa"/>
            <w:vAlign w:val="center"/>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双摇木质护理床</w:t>
            </w:r>
          </w:p>
        </w:tc>
        <w:tc>
          <w:tcPr>
            <w:tcW w:w="3231" w:type="dxa"/>
            <w:vAlign w:val="top"/>
          </w:tcPr>
          <w:p>
            <w:pPr>
              <w:spacing w:before="91" w:line="219"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1000*2000*500</w:t>
            </w:r>
          </w:p>
        </w:tc>
        <w:tc>
          <w:tcPr>
            <w:tcW w:w="1395"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44张</w:t>
            </w:r>
          </w:p>
        </w:tc>
        <w:tc>
          <w:tcPr>
            <w:tcW w:w="915" w:type="dxa"/>
            <w:vAlign w:val="top"/>
          </w:tcPr>
          <w:p>
            <w:pPr>
              <w:spacing w:before="91" w:line="219" w:lineRule="auto"/>
              <w:jc w:val="center"/>
              <w:rPr>
                <w:rFonts w:ascii="宋体" w:hAnsi="宋体" w:eastAsia="宋体" w:cs="宋体"/>
                <w:spacing w:val="3"/>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024"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18</w:t>
            </w:r>
          </w:p>
        </w:tc>
        <w:tc>
          <w:tcPr>
            <w:tcW w:w="1626" w:type="dxa"/>
            <w:vAlign w:val="center"/>
          </w:tcPr>
          <w:p>
            <w:pPr>
              <w:spacing w:before="91" w:line="219"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抢救床</w:t>
            </w:r>
          </w:p>
        </w:tc>
        <w:tc>
          <w:tcPr>
            <w:tcW w:w="3231" w:type="dxa"/>
            <w:vAlign w:val="top"/>
          </w:tcPr>
          <w:p>
            <w:pPr>
              <w:spacing w:before="91" w:line="219"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主体材质:采用优质中32和中25不锈钢管精心加工而成，管壁厚度均达到实际厚度1.0mm，保证了整体的坚固性部件材质:大轮采用中450mm摩托车充气铝合金轮，耐用可靠，两个125mm特殊人造胶轮，耐磨、转向灵活、防缠绕、适用于各种不同路况床面材质:采用40*1.0mm不锈钢管，平整，透气</w:t>
            </w:r>
          </w:p>
          <w:p>
            <w:pPr>
              <w:spacing w:before="91" w:line="219"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紧急情况下，担架车面可与车体分离，护栏可折放</w:t>
            </w:r>
          </w:p>
          <w:p>
            <w:pPr>
              <w:spacing w:before="91" w:line="219"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1950*600*800</w:t>
            </w:r>
          </w:p>
        </w:tc>
        <w:tc>
          <w:tcPr>
            <w:tcW w:w="1395" w:type="dxa"/>
            <w:vAlign w:val="top"/>
          </w:tcPr>
          <w:p>
            <w:pPr>
              <w:spacing w:before="91" w:line="219" w:lineRule="auto"/>
              <w:jc w:val="center"/>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2张</w:t>
            </w:r>
          </w:p>
        </w:tc>
        <w:tc>
          <w:tcPr>
            <w:tcW w:w="915" w:type="dxa"/>
            <w:vAlign w:val="top"/>
          </w:tcPr>
          <w:p>
            <w:pPr>
              <w:spacing w:before="91" w:line="219" w:lineRule="auto"/>
              <w:jc w:val="center"/>
              <w:rPr>
                <w:rFonts w:ascii="宋体" w:hAnsi="宋体" w:eastAsia="宋体" w:cs="宋体"/>
                <w:spacing w:val="3"/>
                <w:sz w:val="28"/>
                <w:szCs w:val="28"/>
              </w:rPr>
            </w:pPr>
          </w:p>
        </w:tc>
      </w:tr>
    </w:tbl>
    <w:p>
      <w:pPr>
        <w:autoSpaceDE w:val="0"/>
        <w:autoSpaceDN w:val="0"/>
        <w:adjustRightInd w:val="0"/>
        <w:spacing w:line="480" w:lineRule="exact"/>
        <w:ind w:firstLine="482" w:firstLineChars="200"/>
        <w:rPr>
          <w:rFonts w:hint="eastAsia" w:ascii="宋体" w:hAnsi="宋体" w:eastAsia="宋体"/>
          <w:b/>
          <w:sz w:val="24"/>
          <w:szCs w:val="24"/>
          <w:lang w:eastAsia="zh-CN"/>
        </w:rPr>
      </w:pPr>
      <w:r>
        <w:rPr>
          <w:rFonts w:hint="eastAsia" w:ascii="宋体" w:hAnsi="宋体"/>
          <w:b/>
          <w:color w:val="auto"/>
          <w:sz w:val="24"/>
          <w:szCs w:val="24"/>
          <w:lang w:eastAsia="zh-CN"/>
        </w:rPr>
        <w:t>+</w:t>
      </w:r>
    </w:p>
    <w:p>
      <w:pPr>
        <w:autoSpaceDE w:val="0"/>
        <w:autoSpaceDN w:val="0"/>
        <w:adjustRightInd w:val="0"/>
        <w:spacing w:line="480" w:lineRule="exact"/>
        <w:ind w:firstLine="482" w:firstLineChars="200"/>
        <w:rPr>
          <w:rFonts w:ascii="宋体" w:hAnsi="宋体"/>
          <w:b/>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9"/>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30"/>
      <w:suff w:val="nothing"/>
      <w:lvlText w:val="%1.%2.%3　"/>
      <w:lvlJc w:val="left"/>
      <w:pPr>
        <w:ind w:left="850" w:firstLine="0"/>
      </w:pPr>
      <w:rPr>
        <w:rFonts w:hint="eastAsia" w:ascii="黑体" w:hAnsi="Times New Roman" w:eastAsia="黑体"/>
        <w:b w:val="0"/>
        <w:i w:val="0"/>
        <w:color w:val="00000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5NTE0YTFiZGQwOWRhMDAzNzQ0ZmU4MDI3YTg1ZmEifQ=="/>
  </w:docVars>
  <w:rsids>
    <w:rsidRoot w:val="0010468B"/>
    <w:rsid w:val="0002556E"/>
    <w:rsid w:val="0007445E"/>
    <w:rsid w:val="000833C0"/>
    <w:rsid w:val="00087DAF"/>
    <w:rsid w:val="000A6EEB"/>
    <w:rsid w:val="000D7E38"/>
    <w:rsid w:val="0010468B"/>
    <w:rsid w:val="00105C6B"/>
    <w:rsid w:val="00142214"/>
    <w:rsid w:val="001554C6"/>
    <w:rsid w:val="00161404"/>
    <w:rsid w:val="00172124"/>
    <w:rsid w:val="001C52C5"/>
    <w:rsid w:val="001E20D9"/>
    <w:rsid w:val="002413F5"/>
    <w:rsid w:val="00276B55"/>
    <w:rsid w:val="00293E3A"/>
    <w:rsid w:val="002C424F"/>
    <w:rsid w:val="002D4620"/>
    <w:rsid w:val="003012D7"/>
    <w:rsid w:val="003564DA"/>
    <w:rsid w:val="00360287"/>
    <w:rsid w:val="003B739E"/>
    <w:rsid w:val="003C27F1"/>
    <w:rsid w:val="00455AB0"/>
    <w:rsid w:val="00543BEE"/>
    <w:rsid w:val="0056281B"/>
    <w:rsid w:val="00633FF2"/>
    <w:rsid w:val="006F4982"/>
    <w:rsid w:val="00752147"/>
    <w:rsid w:val="00777DB0"/>
    <w:rsid w:val="007B1F40"/>
    <w:rsid w:val="0086226A"/>
    <w:rsid w:val="008D7672"/>
    <w:rsid w:val="00903F82"/>
    <w:rsid w:val="00925F3E"/>
    <w:rsid w:val="00934D40"/>
    <w:rsid w:val="00965EDF"/>
    <w:rsid w:val="00986F73"/>
    <w:rsid w:val="00A10D64"/>
    <w:rsid w:val="00A17BCA"/>
    <w:rsid w:val="00AB436E"/>
    <w:rsid w:val="00AC1A18"/>
    <w:rsid w:val="00AE25CC"/>
    <w:rsid w:val="00AE466B"/>
    <w:rsid w:val="00AF5386"/>
    <w:rsid w:val="00B37B80"/>
    <w:rsid w:val="00B44D84"/>
    <w:rsid w:val="00BC168D"/>
    <w:rsid w:val="00C153E0"/>
    <w:rsid w:val="00C3789B"/>
    <w:rsid w:val="00CC11D1"/>
    <w:rsid w:val="00CC1BA6"/>
    <w:rsid w:val="00CC75F0"/>
    <w:rsid w:val="00D01EC7"/>
    <w:rsid w:val="00D52C71"/>
    <w:rsid w:val="00D777DB"/>
    <w:rsid w:val="00DC02C8"/>
    <w:rsid w:val="00DC0F27"/>
    <w:rsid w:val="00DE31B2"/>
    <w:rsid w:val="00DF29B4"/>
    <w:rsid w:val="00DF7F2E"/>
    <w:rsid w:val="00E0573A"/>
    <w:rsid w:val="00E455CC"/>
    <w:rsid w:val="00E7115D"/>
    <w:rsid w:val="00E8110C"/>
    <w:rsid w:val="00EE138A"/>
    <w:rsid w:val="00F9782A"/>
    <w:rsid w:val="00FB17A6"/>
    <w:rsid w:val="00FE0DF7"/>
    <w:rsid w:val="00FE4958"/>
    <w:rsid w:val="00FF6F13"/>
    <w:rsid w:val="0E503FD4"/>
    <w:rsid w:val="36257F72"/>
    <w:rsid w:val="6A7273BA"/>
    <w:rsid w:val="6C3A0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4"/>
    <w:basedOn w:val="1"/>
    <w:next w:val="1"/>
    <w:link w:val="15"/>
    <w:qFormat/>
    <w:uiPriority w:val="99"/>
    <w:pPr>
      <w:keepNext/>
      <w:keepLines/>
      <w:spacing w:before="280" w:after="290" w:line="376" w:lineRule="auto"/>
      <w:outlineLvl w:val="3"/>
    </w:pPr>
    <w:rPr>
      <w:rFonts w:ascii="Arial" w:hAnsi="Arial" w:eastAsia="黑体" w:cs="Arial"/>
      <w:b/>
      <w:bCs/>
      <w:sz w:val="28"/>
      <w:szCs w:val="28"/>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link w:val="20"/>
    <w:uiPriority w:val="0"/>
    <w:pPr>
      <w:ind w:firstLine="420" w:firstLineChars="200"/>
    </w:pPr>
    <w:rPr>
      <w:szCs w:val="20"/>
    </w:rPr>
  </w:style>
  <w:style w:type="paragraph" w:styleId="4">
    <w:name w:val="Body Text"/>
    <w:basedOn w:val="1"/>
    <w:link w:val="16"/>
    <w:uiPriority w:val="99"/>
    <w:pPr>
      <w:spacing w:after="120"/>
    </w:pPr>
  </w:style>
  <w:style w:type="paragraph" w:styleId="5">
    <w:name w:val="Body Text Indent"/>
    <w:basedOn w:val="1"/>
    <w:link w:val="22"/>
    <w:qFormat/>
    <w:uiPriority w:val="99"/>
    <w:pPr>
      <w:spacing w:after="120"/>
      <w:ind w:left="420" w:leftChars="200"/>
    </w:pPr>
  </w:style>
  <w:style w:type="paragraph" w:styleId="6">
    <w:name w:val="Plain Text"/>
    <w:basedOn w:val="1"/>
    <w:link w:val="18"/>
    <w:uiPriority w:val="99"/>
    <w:rPr>
      <w:rFonts w:ascii="宋体" w:hAnsi="Courier New" w:cs="宋体"/>
    </w:rPr>
  </w:style>
  <w:style w:type="paragraph" w:styleId="7">
    <w:name w:val="Date"/>
    <w:basedOn w:val="1"/>
    <w:next w:val="1"/>
    <w:link w:val="17"/>
    <w:qFormat/>
    <w:uiPriority w:val="0"/>
    <w:pPr>
      <w:ind w:left="100" w:leftChars="2500"/>
    </w:pPr>
  </w:style>
  <w:style w:type="paragraph" w:styleId="8">
    <w:name w:val="Body Text Indent 2"/>
    <w:basedOn w:val="1"/>
    <w:link w:val="27"/>
    <w:semiHidden/>
    <w:unhideWhenUsed/>
    <w:uiPriority w:val="99"/>
    <w:pPr>
      <w:spacing w:after="120" w:line="480" w:lineRule="auto"/>
      <w:ind w:left="420" w:leftChars="200"/>
    </w:pPr>
  </w:style>
  <w:style w:type="paragraph" w:styleId="9">
    <w:name w:val="footer"/>
    <w:basedOn w:val="1"/>
    <w:link w:val="26"/>
    <w:unhideWhenUsed/>
    <w:qFormat/>
    <w:uiPriority w:val="99"/>
    <w:pPr>
      <w:tabs>
        <w:tab w:val="center" w:pos="4153"/>
        <w:tab w:val="right" w:pos="8306"/>
      </w:tabs>
      <w:snapToGrid w:val="0"/>
      <w:jc w:val="left"/>
    </w:pPr>
    <w:rPr>
      <w:sz w:val="18"/>
      <w:szCs w:val="18"/>
    </w:rPr>
  </w:style>
  <w:style w:type="paragraph" w:styleId="10">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spacing w:before="100" w:beforeAutospacing="1" w:after="100" w:afterAutospacing="1"/>
      <w:jc w:val="left"/>
    </w:pPr>
    <w:rPr>
      <w:rFonts w:ascii="Calibri" w:hAnsi="Calibri"/>
      <w:kern w:val="0"/>
      <w:sz w:val="24"/>
      <w:szCs w:val="24"/>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5">
    <w:name w:val="标题 4 Char"/>
    <w:basedOn w:val="14"/>
    <w:link w:val="2"/>
    <w:qFormat/>
    <w:uiPriority w:val="9"/>
    <w:rPr>
      <w:rFonts w:ascii="Arial" w:hAnsi="Arial" w:eastAsia="黑体" w:cs="Arial"/>
      <w:b/>
      <w:bCs/>
      <w:sz w:val="28"/>
      <w:szCs w:val="28"/>
    </w:rPr>
  </w:style>
  <w:style w:type="character" w:customStyle="1" w:styleId="16">
    <w:name w:val="正文文本 Char"/>
    <w:basedOn w:val="14"/>
    <w:link w:val="4"/>
    <w:uiPriority w:val="99"/>
    <w:rPr>
      <w:rFonts w:ascii="Times New Roman" w:hAnsi="Times New Roman" w:eastAsia="宋体" w:cs="Times New Roman"/>
      <w:szCs w:val="21"/>
    </w:rPr>
  </w:style>
  <w:style w:type="character" w:customStyle="1" w:styleId="17">
    <w:name w:val="日期 Char"/>
    <w:basedOn w:val="14"/>
    <w:link w:val="7"/>
    <w:uiPriority w:val="0"/>
    <w:rPr>
      <w:rFonts w:ascii="Times New Roman" w:hAnsi="Times New Roman" w:eastAsia="宋体" w:cs="Times New Roman"/>
      <w:szCs w:val="21"/>
    </w:rPr>
  </w:style>
  <w:style w:type="character" w:customStyle="1" w:styleId="18">
    <w:name w:val="纯文本 Char"/>
    <w:basedOn w:val="14"/>
    <w:link w:val="6"/>
    <w:uiPriority w:val="99"/>
    <w:rPr>
      <w:rFonts w:ascii="宋体" w:hAnsi="Courier New" w:eastAsia="宋体" w:cs="宋体"/>
      <w:szCs w:val="21"/>
    </w:rPr>
  </w:style>
  <w:style w:type="paragraph" w:customStyle="1" w:styleId="19">
    <w:name w:val="样式1"/>
    <w:basedOn w:val="1"/>
    <w:qFormat/>
    <w:uiPriority w:val="99"/>
    <w:pPr>
      <w:widowControl/>
      <w:spacing w:line="360" w:lineRule="auto"/>
      <w:ind w:firstLine="480" w:firstLineChars="200"/>
    </w:pPr>
    <w:rPr>
      <w:rFonts w:ascii="宋体" w:hAnsi="宋体" w:cs="宋体"/>
      <w:kern w:val="24"/>
      <w:sz w:val="24"/>
      <w:szCs w:val="24"/>
    </w:rPr>
  </w:style>
  <w:style w:type="character" w:customStyle="1" w:styleId="20">
    <w:name w:val="正文缩进 Char"/>
    <w:link w:val="3"/>
    <w:uiPriority w:val="0"/>
    <w:rPr>
      <w:rFonts w:ascii="Times New Roman" w:hAnsi="Times New Roman" w:eastAsia="宋体" w:cs="Times New Roman"/>
      <w:szCs w:val="20"/>
    </w:rPr>
  </w:style>
  <w:style w:type="paragraph" w:styleId="21">
    <w:name w:val="List Paragraph"/>
    <w:basedOn w:val="1"/>
    <w:qFormat/>
    <w:uiPriority w:val="34"/>
    <w:pPr>
      <w:ind w:firstLine="420" w:firstLineChars="200"/>
    </w:pPr>
  </w:style>
  <w:style w:type="character" w:customStyle="1" w:styleId="22">
    <w:name w:val="正文文本缩进 Char"/>
    <w:basedOn w:val="14"/>
    <w:link w:val="5"/>
    <w:qFormat/>
    <w:uiPriority w:val="99"/>
    <w:rPr>
      <w:rFonts w:ascii="Times New Roman" w:hAnsi="Times New Roman" w:eastAsia="宋体" w:cs="Times New Roman"/>
      <w:szCs w:val="21"/>
    </w:rPr>
  </w:style>
  <w:style w:type="character" w:customStyle="1" w:styleId="23">
    <w:name w:val="fontstyle01"/>
    <w:basedOn w:val="14"/>
    <w:uiPriority w:val="0"/>
    <w:rPr>
      <w:rFonts w:hint="eastAsia" w:ascii="宋体" w:hAnsi="宋体" w:eastAsia="宋体"/>
      <w:color w:val="000000"/>
      <w:sz w:val="22"/>
      <w:szCs w:val="22"/>
    </w:rPr>
  </w:style>
  <w:style w:type="paragraph" w:customStyle="1" w:styleId="24">
    <w:name w:val="列出段落1"/>
    <w:basedOn w:val="1"/>
    <w:qFormat/>
    <w:uiPriority w:val="0"/>
    <w:pPr>
      <w:ind w:firstLine="420" w:firstLineChars="200"/>
    </w:pPr>
    <w:rPr>
      <w:szCs w:val="24"/>
    </w:rPr>
  </w:style>
  <w:style w:type="character" w:customStyle="1" w:styleId="25">
    <w:name w:val="页眉 Char"/>
    <w:basedOn w:val="14"/>
    <w:link w:val="10"/>
    <w:qFormat/>
    <w:uiPriority w:val="99"/>
    <w:rPr>
      <w:rFonts w:ascii="Times New Roman" w:hAnsi="Times New Roman" w:eastAsia="宋体" w:cs="Times New Roman"/>
      <w:sz w:val="18"/>
      <w:szCs w:val="18"/>
    </w:rPr>
  </w:style>
  <w:style w:type="character" w:customStyle="1" w:styleId="26">
    <w:name w:val="页脚 Char"/>
    <w:basedOn w:val="14"/>
    <w:link w:val="9"/>
    <w:uiPriority w:val="99"/>
    <w:rPr>
      <w:rFonts w:ascii="Times New Roman" w:hAnsi="Times New Roman" w:eastAsia="宋体" w:cs="Times New Roman"/>
      <w:sz w:val="18"/>
      <w:szCs w:val="18"/>
    </w:rPr>
  </w:style>
  <w:style w:type="character" w:customStyle="1" w:styleId="27">
    <w:name w:val="正文文本缩进 2 Char"/>
    <w:basedOn w:val="14"/>
    <w:link w:val="8"/>
    <w:semiHidden/>
    <w:uiPriority w:val="99"/>
    <w:rPr>
      <w:rFonts w:ascii="Times New Roman" w:hAnsi="Times New Roman" w:eastAsia="宋体" w:cs="Times New Roman"/>
      <w:szCs w:val="21"/>
    </w:rPr>
  </w:style>
  <w:style w:type="paragraph" w:customStyle="1" w:styleId="2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9">
    <w:name w:val="一级条标题"/>
    <w:next w:val="1"/>
    <w:qFormat/>
    <w:uiPriority w:val="0"/>
    <w:pPr>
      <w:numPr>
        <w:ilvl w:val="1"/>
        <w:numId w:val="1"/>
      </w:numPr>
      <w:spacing w:beforeLines="50" w:afterLines="50"/>
      <w:outlineLvl w:val="2"/>
    </w:pPr>
    <w:rPr>
      <w:rFonts w:ascii="黑体" w:hAnsi="Times New Roman" w:eastAsia="黑体" w:cs="Times New Roman"/>
      <w:kern w:val="0"/>
      <w:sz w:val="21"/>
      <w:szCs w:val="21"/>
      <w:lang w:val="en-US" w:eastAsia="zh-CN" w:bidi="ar-SA"/>
    </w:rPr>
  </w:style>
  <w:style w:type="paragraph" w:customStyle="1" w:styleId="30">
    <w:name w:val="二级条标题"/>
    <w:basedOn w:val="29"/>
    <w:next w:val="1"/>
    <w:autoRedefine/>
    <w:qFormat/>
    <w:uiPriority w:val="0"/>
    <w:pPr>
      <w:numPr>
        <w:ilvl w:val="2"/>
      </w:numPr>
      <w:ind w:left="1700"/>
      <w:outlineLvl w:val="3"/>
    </w:pPr>
  </w:style>
  <w:style w:type="paragraph" w:customStyle="1" w:styleId="31">
    <w:name w:val="二级无"/>
    <w:basedOn w:val="30"/>
    <w:qFormat/>
    <w:uiPriority w:val="0"/>
    <w:pPr>
      <w:spacing w:beforeLines="0" w:afterLines="0"/>
      <w:ind w:left="850"/>
    </w:pPr>
    <w:rPr>
      <w:rFonts w:ascii="宋体" w:eastAsia="宋体"/>
    </w:rPr>
  </w:style>
  <w:style w:type="paragraph" w:customStyle="1" w:styleId="32">
    <w:name w:val="Table Text"/>
    <w:basedOn w:val="1"/>
    <w:autoRedefine/>
    <w:semiHidden/>
    <w:qFormat/>
    <w:uiPriority w:val="0"/>
    <w:rPr>
      <w:rFonts w:ascii="Arial" w:hAnsi="Arial" w:eastAsia="Arial" w:cs="Arial"/>
      <w:sz w:val="21"/>
      <w:szCs w:val="21"/>
      <w:lang w:val="en-US" w:eastAsia="en-US" w:bidi="ar-SA"/>
    </w:rPr>
  </w:style>
  <w:style w:type="table" w:customStyle="1" w:styleId="33">
    <w:name w:val="Table Normal"/>
    <w:semiHidden/>
    <w:unhideWhenUsed/>
    <w:qFormat/>
    <w:uiPriority w:val="0"/>
    <w:tblPr>
      <w:tblCellMar>
        <w:top w:w="0" w:type="dxa"/>
        <w:left w:w="0" w:type="dxa"/>
        <w:bottom w:w="0" w:type="dxa"/>
        <w:right w:w="0" w:type="dxa"/>
      </w:tblCellMar>
    </w:tblPr>
  </w:style>
  <w:style w:type="character" w:customStyle="1" w:styleId="34">
    <w:name w:val="font21"/>
    <w:basedOn w:val="14"/>
    <w:autoRedefine/>
    <w:qFormat/>
    <w:uiPriority w:val="0"/>
    <w:rPr>
      <w:rFonts w:hint="default" w:ascii="Tahoma" w:hAnsi="Tahoma" w:eastAsia="Tahoma" w:cs="Tahoma"/>
      <w:color w:val="000000"/>
      <w:sz w:val="20"/>
      <w:szCs w:val="20"/>
      <w:u w:val="none"/>
    </w:rPr>
  </w:style>
  <w:style w:type="character" w:customStyle="1" w:styleId="35">
    <w:name w:val="font41"/>
    <w:basedOn w:val="14"/>
    <w:autoRedefine/>
    <w:qFormat/>
    <w:uiPriority w:val="0"/>
    <w:rPr>
      <w:rFonts w:hint="eastAsia" w:ascii="宋体" w:hAnsi="宋体" w:eastAsia="宋体" w:cs="宋体"/>
      <w:color w:val="000000"/>
      <w:sz w:val="20"/>
      <w:szCs w:val="20"/>
      <w:u w:val="none"/>
    </w:rPr>
  </w:style>
  <w:style w:type="character" w:customStyle="1" w:styleId="36">
    <w:name w:val="font31"/>
    <w:basedOn w:val="14"/>
    <w:autoRedefine/>
    <w:qFormat/>
    <w:uiPriority w:val="0"/>
    <w:rPr>
      <w:rFonts w:hint="default" w:ascii="Tahoma" w:hAnsi="Tahoma" w:eastAsia="Tahoma" w:cs="Tahoma"/>
      <w:color w:val="000000"/>
      <w:sz w:val="20"/>
      <w:szCs w:val="20"/>
      <w:u w:val="none"/>
    </w:rPr>
  </w:style>
  <w:style w:type="character" w:customStyle="1" w:styleId="37">
    <w:name w:val="font51"/>
    <w:basedOn w:val="14"/>
    <w:autoRedefine/>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2048</Words>
  <Characters>11677</Characters>
  <Lines>97</Lines>
  <Paragraphs>27</Paragraphs>
  <TotalTime>10</TotalTime>
  <ScaleCrop>false</ScaleCrop>
  <LinksUpToDate>false</LinksUpToDate>
  <CharactersWithSpaces>13698</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2019-05-09T01:57:00Z</dcterms:created>
  <dc:creator>sgd</dc:creator>
  <cp:lastModifiedBy>hello</cp:lastModifiedBy>
  <dcterms:modified xsi:type="dcterms:W3CDTF">2024-02-02T09:32:30Z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43C1238CECAC457E897722D45F6815A4_13</vt:lpwstr>
  </property>
</Properties>
</file>