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2024年数字江门网络建设有限公司网络安全运维服务项目采购需求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3"/>
        <w:ind w:firstLine="560"/>
        <w:rPr>
          <w:rFonts w:hint="eastAsia" w:ascii="仿宋_GB2312" w:eastAsia="仿宋_GB2312" w:cs="Times New Roman" w:hAnsiTheme="minorEastAsia"/>
          <w:kern w:val="2"/>
          <w:sz w:val="28"/>
          <w:szCs w:val="28"/>
          <w:lang w:val="en-US" w:eastAsia="zh-CN" w:bidi="ar-SA"/>
        </w:rPr>
      </w:pPr>
      <w:r>
        <w:rPr>
          <w:rFonts w:hint="eastAsia" w:ascii="仿宋_GB2312" w:eastAsia="仿宋_GB2312" w:cs="Times New Roman" w:hAnsiTheme="minorEastAsia"/>
          <w:kern w:val="2"/>
          <w:sz w:val="28"/>
          <w:szCs w:val="28"/>
          <w:lang w:val="en-US" w:eastAsia="zh-CN" w:bidi="ar-SA"/>
        </w:rPr>
        <w:t>为保障和健全网络安全防护体系，江门市对外劳动服务有限公司（以下简称对外劳动公司）之前开展网络安全建设，为更进一步提升对外劳动公司的网络安全建设的整体网络安全防护能力，满足相应等级的安全标准，需要提供网络安全运维服务。</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p>
      <w:pPr>
        <w:pStyle w:val="13"/>
        <w:ind w:firstLine="560"/>
        <w:rPr>
          <w:rFonts w:hint="eastAsia" w:ascii="仿宋_GB2312" w:eastAsia="仿宋_GB2312" w:cs="Times New Roman" w:hAnsiTheme="minorEastAsia"/>
          <w:kern w:val="2"/>
          <w:sz w:val="28"/>
          <w:szCs w:val="28"/>
          <w:lang w:val="zh-CN" w:eastAsia="zh-CN" w:bidi="ar-SA"/>
        </w:rPr>
      </w:pPr>
      <w:r>
        <w:rPr>
          <w:rFonts w:hint="eastAsia" w:ascii="仿宋_GB2312" w:eastAsia="仿宋_GB2312" w:cs="Times New Roman" w:hAnsiTheme="minorEastAsia"/>
          <w:kern w:val="2"/>
          <w:sz w:val="28"/>
          <w:szCs w:val="28"/>
          <w:lang w:val="en-US" w:eastAsia="zh-CN" w:bidi="ar-SA"/>
        </w:rPr>
        <w:t>本次项目采购的主要内容是提供下一代防火墙、上网行为管理设备及终端检测响应软件EDR软件的维护服务。</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pStyle w:val="13"/>
        <w:ind w:firstLine="560"/>
        <w:rPr>
          <w:rFonts w:hint="eastAsia" w:ascii="仿宋_GB2312" w:eastAsia="仿宋_GB2312" w:cs="Times New Roman" w:hAnsiTheme="minorEastAsia"/>
          <w:kern w:val="2"/>
          <w:sz w:val="28"/>
          <w:szCs w:val="28"/>
          <w:lang w:val="en-US" w:eastAsia="zh-CN" w:bidi="ar-SA"/>
        </w:rPr>
      </w:pPr>
      <w:r>
        <w:rPr>
          <w:rFonts w:hint="eastAsia" w:ascii="仿宋_GB2312" w:eastAsia="仿宋_GB2312" w:cs="Times New Roman" w:hAnsiTheme="minorEastAsia"/>
          <w:kern w:val="2"/>
          <w:sz w:val="28"/>
          <w:szCs w:val="28"/>
          <w:lang w:val="en-US" w:eastAsia="zh-CN" w:bidi="ar-SA"/>
        </w:rPr>
        <w:t>合同签订生效之日起提供一年设备及软件的维护服务。</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四、维护服务</w:t>
      </w:r>
    </w:p>
    <w:tbl>
      <w:tblPr>
        <w:tblStyle w:val="11"/>
        <w:tblW w:w="8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0"/>
        <w:gridCol w:w="824"/>
        <w:gridCol w:w="2902"/>
        <w:gridCol w:w="1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470"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安全产品及管理</w:t>
            </w:r>
          </w:p>
        </w:tc>
        <w:tc>
          <w:tcPr>
            <w:tcW w:w="824"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数量</w:t>
            </w:r>
          </w:p>
        </w:tc>
        <w:tc>
          <w:tcPr>
            <w:tcW w:w="2902"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服务内容</w:t>
            </w:r>
          </w:p>
        </w:tc>
        <w:tc>
          <w:tcPr>
            <w:tcW w:w="1741"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部署位置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3470"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深信服下一代防火墙AF-1000-B1080（基础级）</w:t>
            </w:r>
          </w:p>
        </w:tc>
        <w:tc>
          <w:tcPr>
            <w:tcW w:w="824"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2902"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产品质保、软件升级</w:t>
            </w:r>
          </w:p>
        </w:tc>
        <w:tc>
          <w:tcPr>
            <w:tcW w:w="1741" w:type="dxa"/>
            <w:vMerge w:val="restart"/>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数字江门网络建设有限公司指定地点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3470"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深信服上网行为管理AC-1000-B1060</w:t>
            </w:r>
          </w:p>
        </w:tc>
        <w:tc>
          <w:tcPr>
            <w:tcW w:w="824"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2902"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URL&amp;应用识别规则库升级、产品质保、软件升级</w:t>
            </w:r>
          </w:p>
        </w:tc>
        <w:tc>
          <w:tcPr>
            <w:tcW w:w="1741" w:type="dxa"/>
            <w:vMerge w:val="continue"/>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3470"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深信服终端检测响应软件EDR</w:t>
            </w:r>
          </w:p>
        </w:tc>
        <w:tc>
          <w:tcPr>
            <w:tcW w:w="824"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9</w:t>
            </w:r>
          </w:p>
        </w:tc>
        <w:tc>
          <w:tcPr>
            <w:tcW w:w="2902" w:type="dxa"/>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软件升级</w:t>
            </w:r>
          </w:p>
        </w:tc>
        <w:tc>
          <w:tcPr>
            <w:tcW w:w="1741" w:type="dxa"/>
            <w:vMerge w:val="continue"/>
            <w:vAlign w:val="center"/>
          </w:tcPr>
          <w:p>
            <w:pPr>
              <w:pStyle w:val="20"/>
              <w:keepNext w:val="0"/>
              <w:keepLines w:val="0"/>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kern w:val="2"/>
                <w:sz w:val="21"/>
                <w:szCs w:val="21"/>
                <w:lang w:val="en-US" w:eastAsia="zh-CN" w:bidi="ar-SA"/>
              </w:rPr>
            </w:pPr>
          </w:p>
        </w:tc>
      </w:tr>
    </w:tbl>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w:t>
      </w:r>
      <w:r>
        <w:rPr>
          <w:rFonts w:hint="default" w:ascii="黑体" w:hAnsi="黑体" w:eastAsia="黑体" w:cs="黑体"/>
          <w:b/>
          <w:color w:val="auto"/>
          <w:sz w:val="28"/>
          <w:szCs w:val="28"/>
          <w:highlight w:val="none"/>
          <w:lang w:val="en-US" w:eastAsia="zh-CN"/>
        </w:rPr>
        <w:t>服务要求</w:t>
      </w:r>
    </w:p>
    <w:p>
      <w:pPr>
        <w:pStyle w:val="13"/>
        <w:ind w:firstLine="560"/>
        <w:rPr>
          <w:rFonts w:hint="default" w:ascii="仿宋_GB2312" w:eastAsia="仿宋_GB2312" w:cs="Times New Roman" w:hAnsiTheme="minorEastAsia"/>
          <w:kern w:val="2"/>
          <w:sz w:val="28"/>
          <w:szCs w:val="28"/>
          <w:lang w:val="en-US" w:eastAsia="zh-CN" w:bidi="ar-SA"/>
        </w:rPr>
      </w:pPr>
      <w:r>
        <w:rPr>
          <w:rFonts w:hint="default" w:ascii="仿宋_GB2312" w:eastAsia="仿宋_GB2312" w:cs="Times New Roman" w:hAnsiTheme="minorEastAsia"/>
          <w:kern w:val="2"/>
          <w:sz w:val="28"/>
          <w:szCs w:val="28"/>
          <w:lang w:val="en-US" w:eastAsia="zh-CN" w:bidi="ar-SA"/>
        </w:rPr>
        <w:t>合同签订生效之日起提供一年设备及软件的维护服务。在维护期内，</w:t>
      </w:r>
      <w:r>
        <w:rPr>
          <w:rFonts w:hint="eastAsia" w:ascii="仿宋_GB2312" w:eastAsia="仿宋_GB2312" w:cs="Times New Roman" w:hAnsiTheme="minorEastAsia"/>
          <w:kern w:val="2"/>
          <w:sz w:val="28"/>
          <w:szCs w:val="28"/>
          <w:lang w:val="en-US" w:eastAsia="zh-CN" w:bidi="ar-SA"/>
        </w:rPr>
        <w:t>中选供应商</w:t>
      </w:r>
      <w:r>
        <w:rPr>
          <w:rFonts w:hint="default" w:ascii="仿宋_GB2312" w:eastAsia="仿宋_GB2312" w:cs="Times New Roman" w:hAnsiTheme="minorEastAsia"/>
          <w:kern w:val="2"/>
          <w:sz w:val="28"/>
          <w:szCs w:val="28"/>
          <w:lang w:val="en-US" w:eastAsia="zh-CN" w:bidi="ar-SA"/>
        </w:rPr>
        <w:t>需提供免费上门服务。</w:t>
      </w:r>
    </w:p>
    <w:p>
      <w:pPr>
        <w:spacing w:line="360" w:lineRule="auto"/>
        <w:rPr>
          <w:rFonts w:hint="default" w:ascii="仿宋" w:hAnsi="仿宋" w:eastAsia="黑体" w:cs="仿宋"/>
          <w:color w:val="auto"/>
          <w:sz w:val="32"/>
          <w:szCs w:val="32"/>
          <w:highlight w:val="none"/>
          <w:lang w:val="en-US" w:eastAsia="zh-CN"/>
        </w:rPr>
      </w:pPr>
      <w:r>
        <w:rPr>
          <w:rFonts w:hint="eastAsia" w:ascii="黑体" w:hAnsi="黑体" w:eastAsia="黑体" w:cs="黑体"/>
          <w:b/>
          <w:color w:val="auto"/>
          <w:sz w:val="28"/>
          <w:szCs w:val="28"/>
          <w:highlight w:val="none"/>
          <w:lang w:eastAsia="zh-CN"/>
        </w:rPr>
        <w:t>六</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运维要求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default" w:ascii="仿宋_GB2312" w:eastAsia="仿宋_GB2312" w:hAnsiTheme="minorEastAsia"/>
          <w:kern w:val="0"/>
          <w:sz w:val="28"/>
          <w:szCs w:val="28"/>
          <w:lang w:val="en-US" w:eastAsia="zh-CN"/>
        </w:rPr>
      </w:pPr>
      <w:r>
        <w:rPr>
          <w:rFonts w:hint="eastAsia" w:ascii="仿宋_GB2312" w:eastAsia="仿宋_GB2312" w:hAnsiTheme="minorEastAsia"/>
          <w:kern w:val="0"/>
          <w:sz w:val="28"/>
          <w:szCs w:val="28"/>
          <w:lang w:val="en-US" w:eastAsia="zh-CN"/>
        </w:rPr>
        <w:t>（一）</w:t>
      </w:r>
      <w:r>
        <w:rPr>
          <w:rFonts w:hint="default" w:ascii="仿宋_GB2312" w:eastAsia="仿宋_GB2312" w:hAnsiTheme="minorEastAsia"/>
          <w:kern w:val="0"/>
          <w:sz w:val="28"/>
          <w:szCs w:val="28"/>
          <w:lang w:val="en-US" w:eastAsia="zh-CN"/>
        </w:rPr>
        <w:t>平台发生故障后，自报障时起算，半小时内响应，若远程维护无法解决，2小时内到达现场，8小时内解决问题，如果平台故障在规定时间内仍无法排除，</w:t>
      </w:r>
      <w:r>
        <w:rPr>
          <w:rFonts w:hint="eastAsia" w:ascii="仿宋_GB2312" w:eastAsia="仿宋_GB2312" w:hAnsiTheme="minorEastAsia"/>
          <w:kern w:val="0"/>
          <w:sz w:val="28"/>
          <w:szCs w:val="28"/>
          <w:lang w:val="en-US" w:eastAsia="zh-CN"/>
        </w:rPr>
        <w:t>中选供应商</w:t>
      </w:r>
      <w:r>
        <w:rPr>
          <w:rFonts w:hint="default" w:ascii="仿宋_GB2312" w:eastAsia="仿宋_GB2312" w:hAnsiTheme="minorEastAsia"/>
          <w:kern w:val="0"/>
          <w:sz w:val="28"/>
          <w:szCs w:val="28"/>
          <w:lang w:val="en-US" w:eastAsia="zh-CN"/>
        </w:rPr>
        <w:t>应在随后24小时内提供不低于故障产品规格型号档次的备用产品供</w:t>
      </w:r>
      <w:r>
        <w:rPr>
          <w:rFonts w:hint="eastAsia" w:ascii="仿宋_GB2312" w:eastAsia="仿宋_GB2312" w:hAnsiTheme="minorEastAsia"/>
          <w:kern w:val="0"/>
          <w:sz w:val="28"/>
          <w:szCs w:val="28"/>
          <w:lang w:val="en-US" w:eastAsia="zh-CN"/>
        </w:rPr>
        <w:t>采购人</w:t>
      </w:r>
      <w:r>
        <w:rPr>
          <w:rFonts w:hint="default" w:ascii="仿宋_GB2312" w:eastAsia="仿宋_GB2312" w:hAnsiTheme="minorEastAsia"/>
          <w:kern w:val="0"/>
          <w:sz w:val="28"/>
          <w:szCs w:val="28"/>
          <w:lang w:val="en-US" w:eastAsia="zh-CN"/>
        </w:rPr>
        <w:t>代替使用或采取应急措施解决，直至故障修复，确保平台的正常使用（如因硬件损坏需进行更换的，48小时内解决问题）。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default" w:ascii="仿宋_GB2312" w:eastAsia="仿宋_GB2312" w:hAnsiTheme="minorEastAsia"/>
          <w:kern w:val="0"/>
          <w:sz w:val="28"/>
          <w:szCs w:val="28"/>
          <w:lang w:val="en-US" w:eastAsia="zh-CN"/>
        </w:rPr>
      </w:pPr>
      <w:r>
        <w:rPr>
          <w:rFonts w:hint="eastAsia" w:ascii="仿宋_GB2312" w:eastAsia="仿宋_GB2312" w:hAnsiTheme="minorEastAsia"/>
          <w:kern w:val="0"/>
          <w:sz w:val="28"/>
          <w:szCs w:val="28"/>
          <w:lang w:val="en-US" w:eastAsia="zh-CN"/>
        </w:rPr>
        <w:t>（二）中选供应商</w:t>
      </w:r>
      <w:r>
        <w:rPr>
          <w:rFonts w:hint="default" w:ascii="仿宋_GB2312" w:eastAsia="仿宋_GB2312" w:hAnsiTheme="minorEastAsia"/>
          <w:kern w:val="0"/>
          <w:sz w:val="28"/>
          <w:szCs w:val="28"/>
          <w:lang w:val="en-US" w:eastAsia="zh-CN"/>
        </w:rPr>
        <w:t>须负责培训</w:t>
      </w:r>
      <w:r>
        <w:rPr>
          <w:rFonts w:hint="eastAsia" w:ascii="仿宋_GB2312" w:eastAsia="仿宋_GB2312" w:hAnsiTheme="minorEastAsia"/>
          <w:kern w:val="0"/>
          <w:sz w:val="28"/>
          <w:szCs w:val="28"/>
          <w:lang w:val="en-US" w:eastAsia="zh-CN"/>
        </w:rPr>
        <w:t>采购人</w:t>
      </w:r>
      <w:r>
        <w:rPr>
          <w:rFonts w:hint="default" w:ascii="仿宋_GB2312" w:eastAsia="仿宋_GB2312" w:hAnsiTheme="minorEastAsia"/>
          <w:kern w:val="0"/>
          <w:sz w:val="28"/>
          <w:szCs w:val="28"/>
          <w:lang w:val="en-US" w:eastAsia="zh-CN"/>
        </w:rPr>
        <w:t>的使用人员，直至完全掌握系统的操作、日常维护保养及简单维修方法。</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七、项目预算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hAnsiTheme="minorEastAsia"/>
          <w:kern w:val="0"/>
          <w:sz w:val="28"/>
          <w:szCs w:val="28"/>
        </w:rPr>
      </w:pPr>
      <w:r>
        <w:rPr>
          <w:rFonts w:hint="eastAsia" w:ascii="仿宋_GB2312" w:eastAsia="仿宋_GB2312" w:hAnsiTheme="minorEastAsia"/>
          <w:kern w:val="0"/>
          <w:sz w:val="28"/>
          <w:szCs w:val="28"/>
        </w:rPr>
        <w:t>（一）本项目的采购预算为人民币</w:t>
      </w:r>
      <w:r>
        <w:rPr>
          <w:rFonts w:hint="eastAsia" w:ascii="仿宋_GB2312" w:eastAsia="仿宋_GB2312" w:hAnsiTheme="minorEastAsia"/>
          <w:kern w:val="0"/>
          <w:sz w:val="28"/>
          <w:szCs w:val="28"/>
          <w:lang w:val="en-US" w:eastAsia="zh-CN"/>
        </w:rPr>
        <w:t>0.48</w:t>
      </w:r>
      <w:r>
        <w:rPr>
          <w:rFonts w:hint="eastAsia" w:ascii="仿宋_GB2312" w:eastAsia="仿宋_GB2312" w:hAnsiTheme="minorEastAsia"/>
          <w:kern w:val="0"/>
          <w:sz w:val="28"/>
          <w:szCs w:val="28"/>
        </w:rPr>
        <w:t>万元（含税），中选供应商需根据实际成交价提供相应税率的增值税专用发票。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hAnsiTheme="minorEastAsia"/>
          <w:kern w:val="0"/>
          <w:sz w:val="28"/>
          <w:szCs w:val="28"/>
        </w:rPr>
      </w:pPr>
      <w:r>
        <w:rPr>
          <w:rFonts w:hint="eastAsia" w:ascii="仿宋_GB2312" w:eastAsia="仿宋_GB2312" w:hAnsiTheme="minorEastAsia"/>
          <w:kern w:val="0"/>
          <w:sz w:val="28"/>
          <w:szCs w:val="28"/>
        </w:rPr>
        <w:t>（二）支付方式：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kern w:val="0"/>
          <w:sz w:val="28"/>
          <w:szCs w:val="28"/>
          <w:lang w:eastAsia="zh-CN"/>
        </w:rPr>
        <w:t>支付</w:t>
      </w:r>
      <w:r>
        <w:rPr>
          <w:rFonts w:hint="eastAsia" w:ascii="仿宋_GB2312" w:eastAsia="仿宋_GB2312" w:hAnsiTheme="minorEastAsia"/>
          <w:kern w:val="0"/>
          <w:sz w:val="28"/>
          <w:szCs w:val="28"/>
        </w:rPr>
        <w:t>方式：一次性付款</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合同签订生效及收到</w:t>
      </w:r>
      <w:r>
        <w:rPr>
          <w:rFonts w:hint="eastAsia" w:ascii="仿宋_GB2312" w:eastAsia="仿宋_GB2312" w:hAnsiTheme="minorEastAsia"/>
          <w:kern w:val="0"/>
          <w:sz w:val="28"/>
          <w:szCs w:val="28"/>
          <w:lang w:eastAsia="zh-CN"/>
        </w:rPr>
        <w:t>中选供应商</w:t>
      </w:r>
      <w:r>
        <w:rPr>
          <w:rFonts w:hint="eastAsia" w:ascii="仿宋_GB2312" w:eastAsia="仿宋_GB2312" w:hAnsiTheme="minorEastAsia"/>
          <w:kern w:val="0"/>
          <w:sz w:val="28"/>
          <w:szCs w:val="28"/>
        </w:rPr>
        <w:t>开具的符合国家财务规定的增值税专用发票后5个工作日内，</w:t>
      </w:r>
      <w:r>
        <w:rPr>
          <w:rFonts w:hint="eastAsia" w:ascii="仿宋_GB2312" w:eastAsia="仿宋_GB2312" w:hAnsiTheme="minorEastAsia"/>
          <w:kern w:val="0"/>
          <w:sz w:val="28"/>
          <w:szCs w:val="28"/>
          <w:lang w:eastAsia="zh-CN"/>
        </w:rPr>
        <w:t>采购人</w:t>
      </w:r>
      <w:r>
        <w:rPr>
          <w:rFonts w:hint="eastAsia" w:ascii="仿宋_GB2312" w:eastAsia="仿宋_GB2312" w:hAnsiTheme="minorEastAsia"/>
          <w:kern w:val="0"/>
          <w:sz w:val="28"/>
          <w:szCs w:val="28"/>
        </w:rPr>
        <w:t>将项目总金额的100%，支付至合同中注明的</w:t>
      </w:r>
      <w:r>
        <w:rPr>
          <w:rFonts w:hint="eastAsia" w:ascii="仿宋_GB2312" w:eastAsia="仿宋_GB2312" w:hAnsiTheme="minorEastAsia"/>
          <w:kern w:val="0"/>
          <w:sz w:val="28"/>
          <w:szCs w:val="28"/>
          <w:lang w:eastAsia="zh-CN"/>
        </w:rPr>
        <w:t>中选供应商</w:t>
      </w:r>
      <w:r>
        <w:rPr>
          <w:rFonts w:hint="eastAsia" w:ascii="仿宋_GB2312" w:eastAsia="仿宋_GB2312" w:hAnsiTheme="minorEastAsia"/>
          <w:kern w:val="0"/>
          <w:sz w:val="28"/>
          <w:szCs w:val="28"/>
        </w:rPr>
        <w:t>银行账号。</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八、供应商资格条件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cs="Times New Roman" w:hAnsiTheme="minorEastAsia"/>
          <w:kern w:val="0"/>
          <w:sz w:val="28"/>
          <w:szCs w:val="28"/>
        </w:rPr>
        <w:t>或其他符合法规的证明性材料</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、文件盖章及制作格式</w:t>
      </w:r>
    </w:p>
    <w:p>
      <w:pPr>
        <w:pStyle w:val="16"/>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6"/>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十</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十一、确定供应商</w:t>
      </w:r>
    </w:p>
    <w:p>
      <w:pPr>
        <w:pStyle w:val="1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bookmarkStart w:id="0" w:name="_GoBack"/>
      <w:bookmarkEnd w:id="0"/>
    </w:p>
    <w:p>
      <w:pPr>
        <w:pStyle w:val="1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2"/>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default"/>
          <w:lang w:val="en-US"/>
        </w:rPr>
      </w:pPr>
      <w:r>
        <w:rPr>
          <w:rFonts w:hint="eastAsia" w:ascii="仿宋" w:hAnsi="仿宋" w:eastAsia="仿宋" w:cs="仿宋"/>
          <w:color w:val="auto"/>
          <w:spacing w:val="0"/>
          <w:kern w:val="0"/>
          <w:sz w:val="28"/>
          <w:szCs w:val="28"/>
          <w:highlight w:val="none"/>
          <w:lang w:val="en-US" w:eastAsia="zh-CN" w:bidi="ar-SA"/>
        </w:rPr>
        <w:t>2024年1月15日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0"/>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JYCG2024001</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2024年数字江门网络建设有限公司网络安全运维服务项目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10"/>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10"/>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2"/>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color w:val="auto"/>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w:t>
      </w:r>
      <w:r>
        <w:rPr>
          <w:rFonts w:hint="eastAsia" w:ascii="宋体" w:hAnsi="宋体" w:eastAsia="宋体" w:cs="宋体"/>
          <w:b w:val="0"/>
          <w:bCs w:val="0"/>
          <w:color w:val="auto"/>
          <w:highlight w:val="none"/>
        </w:rPr>
        <w:t>研究</w:t>
      </w:r>
      <w:r>
        <w:rPr>
          <w:rFonts w:hint="eastAsia" w:ascii="宋体" w:hAnsi="宋体" w:eastAsia="宋体" w:cs="宋体"/>
          <w:b w:val="0"/>
          <w:bCs w:val="0"/>
          <w:color w:val="auto"/>
          <w:sz w:val="21"/>
          <w:szCs w:val="21"/>
          <w:highlight w:val="none"/>
        </w:rPr>
        <w:t>了</w:t>
      </w:r>
      <w:r>
        <w:rPr>
          <w:rFonts w:hint="eastAsia" w:asciiTheme="minorEastAsia" w:hAnsiTheme="minorEastAsia" w:eastAsiaTheme="minorEastAsia" w:cstheme="minorEastAsia"/>
          <w:color w:val="auto"/>
          <w:highlight w:val="none"/>
          <w:lang w:val="en-US" w:eastAsia="zh-CN"/>
        </w:rPr>
        <w:t>2024年数字江门网络建设有限公司网络安全运维服务项目采购</w:t>
      </w:r>
      <w:r>
        <w:rPr>
          <w:rFonts w:hint="eastAsia" w:asciiTheme="minorEastAsia" w:hAnsiTheme="minorEastAsia" w:eastAsiaTheme="minorEastAsia" w:cstheme="minorEastAsia"/>
          <w:color w:val="auto"/>
          <w:highlight w:val="none"/>
        </w:rPr>
        <w:t>文件的全部内容，现提交响应文件。包括以下内容：</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2"/>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2"/>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jc w:val="right"/>
        <w:textAlignment w:val="auto"/>
        <w:rPr>
          <w:rFonts w:hint="eastAsia" w:asciiTheme="minorEastAsia" w:hAnsiTheme="minorEastAsia" w:eastAsiaTheme="minorEastAsia" w:cstheme="minorEastAsia"/>
          <w:color w:val="auto"/>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sz w:val="28"/>
          <w:szCs w:val="28"/>
          <w:highlight w:val="none"/>
          <w:u w:val="double"/>
          <w:lang w:val="en-US" w:eastAsia="zh-CN"/>
        </w:rPr>
        <w:t>八</w:t>
      </w:r>
      <w:r>
        <w:rPr>
          <w:rFonts w:hint="eastAsia" w:ascii="仿宋" w:hAnsi="仿宋" w:eastAsia="仿宋" w:cs="仿宋"/>
          <w:b/>
          <w:bCs/>
          <w:i/>
          <w:iCs/>
          <w:color w:val="auto"/>
          <w:sz w:val="28"/>
          <w:szCs w:val="28"/>
          <w:highlight w:val="none"/>
          <w:u w:val="double"/>
        </w:rPr>
        <w:t>条供应商资格条件</w:t>
      </w: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十</w:t>
      </w:r>
      <w:r>
        <w:rPr>
          <w:rFonts w:hint="eastAsia" w:ascii="仿宋" w:hAnsi="仿宋" w:eastAsia="仿宋" w:cs="仿宋"/>
          <w:b/>
          <w:bCs/>
          <w:i/>
          <w:iCs/>
          <w:color w:val="auto"/>
          <w:sz w:val="28"/>
          <w:szCs w:val="28"/>
          <w:highlight w:val="none"/>
          <w:u w:val="double"/>
        </w:rPr>
        <w:t>条采购需求技术方案</w:t>
      </w:r>
    </w:p>
    <w:p>
      <w:pPr>
        <w:pStyle w:val="2"/>
        <w:ind w:left="420"/>
        <w:rPr>
          <w:rFonts w:ascii="仿宋" w:hAnsi="仿宋" w:eastAsia="仿宋" w:cs="仿宋"/>
          <w:b/>
          <w:bCs/>
          <w:i/>
          <w:iCs/>
          <w:color w:val="auto"/>
          <w:sz w:val="28"/>
          <w:szCs w:val="28"/>
          <w:highlight w:val="none"/>
          <w:u w:val="doubl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8"/>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val="en-US" w:eastAsia="zh-CN"/>
        </w:rPr>
        <w:t>2024年数字江门网络建设有限公司网络安全运维服务项目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JYCG2024001</w:t>
      </w:r>
    </w:p>
    <w:p>
      <w:pPr>
        <w:pStyle w:val="5"/>
        <w:spacing w:after="156" w:afterLines="50" w:line="400" w:lineRule="exact"/>
        <w:ind w:firstLine="210" w:firstLineChars="100"/>
        <w:rPr>
          <w:rFonts w:hint="eastAsia" w:ascii="宋体" w:hAnsi="宋体" w:eastAsia="宋体" w:cs="宋体"/>
          <w:color w:val="auto"/>
          <w:kern w:val="0"/>
          <w:sz w:val="21"/>
          <w:szCs w:val="21"/>
          <w:highlight w:val="none"/>
          <w:lang w:val="en-US" w:eastAsia="zh-CN"/>
        </w:rPr>
      </w:pPr>
    </w:p>
    <w:tbl>
      <w:tblPr>
        <w:tblStyle w:val="10"/>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含税总价（元</w:t>
            </w:r>
            <w:r>
              <w:rPr>
                <w:rFonts w:hint="eastAsia" w:ascii="宋体" w:hAnsi="宋体" w:eastAsia="宋体" w:cs="宋体"/>
                <w:color w:val="auto"/>
                <w:kern w:val="0"/>
                <w:sz w:val="21"/>
                <w:szCs w:val="21"/>
                <w:highlight w:val="none"/>
                <w:lang w:val="en-US" w:eastAsia="zh-CN"/>
              </w:rPr>
              <w:t>人民币</w:t>
            </w:r>
            <w:r>
              <w:rPr>
                <w:rFonts w:hint="eastAsia" w:ascii="宋体" w:hAnsi="宋体" w:eastAsia="宋体" w:cs="宋体"/>
                <w:color w:val="auto"/>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注明</w:t>
      </w:r>
    </w:p>
    <w:p>
      <w:pPr>
        <w:pStyle w:val="5"/>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0.48</w:t>
      </w:r>
      <w:r>
        <w:rPr>
          <w:rFonts w:hint="eastAsia" w:ascii="宋体" w:hAnsi="宋体"/>
          <w:b/>
          <w:bCs/>
          <w:sz w:val="21"/>
          <w:szCs w:val="21"/>
          <w:lang w:val="en-US" w:eastAsia="zh-CN"/>
        </w:rPr>
        <w:t>万元，否则作否决评审处理。</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5"/>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5"/>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r>
        <w:rPr>
          <w:rFonts w:hint="eastAsia" w:ascii="宋体" w:hAnsi="宋体"/>
          <w:sz w:val="21"/>
          <w:szCs w:val="21"/>
          <w:lang w:eastAsia="zh-CN"/>
        </w:rPr>
        <w:t>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5"/>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jc w:val="right"/>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8"/>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kern w:val="2"/>
          <w:sz w:val="52"/>
          <w:szCs w:val="52"/>
          <w:highlight w:val="none"/>
          <w:lang w:val="en-US" w:eastAsia="zh-CN" w:bidi="ar-SA"/>
        </w:rPr>
        <w:t>2024年数字江门网络建设有限公司网络安全运维服务项目</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default" w:ascii="黑体" w:hAnsi="黑体" w:eastAsia="黑体" w:cs="黑体"/>
          <w:b/>
          <w:color w:val="auto"/>
          <w:sz w:val="52"/>
          <w:szCs w:val="52"/>
          <w:highlight w:val="none"/>
          <w:lang w:val="en-US" w:eastAsia="zh-CN"/>
        </w:rPr>
        <w:t>采购合同</w:t>
      </w:r>
    </w:p>
    <w:p>
      <w:pPr>
        <w:widowControl/>
        <w:spacing w:line="360" w:lineRule="auto"/>
        <w:jc w:val="left"/>
        <w:rPr>
          <w:color w:val="auto"/>
          <w:highlight w:val="none"/>
        </w:rPr>
      </w:pPr>
      <w:r>
        <w:rPr>
          <w:color w:val="auto"/>
          <w:highlight w:val="none"/>
        </w:rPr>
        <w:br w:type="page"/>
      </w:r>
    </w:p>
    <w:p>
      <w:pPr>
        <w:pStyle w:val="9"/>
        <w:spacing w:line="360" w:lineRule="auto"/>
        <w:ind w:left="2240" w:hanging="1470" w:hangingChars="700"/>
        <w:rPr>
          <w:rFonts w:hint="eastAsia" w:ascii="宋体" w:hAnsi="宋体" w:eastAsia="宋体" w:cs="宋体"/>
          <w:sz w:val="21"/>
          <w:szCs w:val="21"/>
        </w:rPr>
      </w:pPr>
      <w:r>
        <w:rPr>
          <w:rFonts w:hint="eastAsia" w:ascii="宋体" w:hAnsi="宋体" w:eastAsia="宋体" w:cs="宋体"/>
          <w:sz w:val="21"/>
          <w:szCs w:val="21"/>
        </w:rPr>
        <w:t>甲方：</w:t>
      </w:r>
      <w:r>
        <w:rPr>
          <w:rFonts w:hint="eastAsia" w:ascii="宋体" w:hAnsi="宋体" w:eastAsia="宋体" w:cs="宋体"/>
          <w:sz w:val="21"/>
          <w:szCs w:val="21"/>
          <w:u w:val="single"/>
        </w:rPr>
        <w:t>数字江门网络建设有限公司</w:t>
      </w:r>
    </w:p>
    <w:p>
      <w:pPr>
        <w:pStyle w:val="9"/>
        <w:spacing w:line="360" w:lineRule="auto"/>
        <w:rPr>
          <w:rFonts w:hint="eastAsia" w:ascii="宋体" w:hAnsi="宋体" w:eastAsia="宋体" w:cs="宋体"/>
          <w:sz w:val="21"/>
          <w:szCs w:val="21"/>
        </w:rPr>
      </w:pPr>
      <w:r>
        <w:rPr>
          <w:rFonts w:hint="eastAsia" w:ascii="宋体" w:hAnsi="宋体" w:eastAsia="宋体" w:cs="宋体"/>
          <w:sz w:val="21"/>
          <w:szCs w:val="21"/>
        </w:rPr>
        <w:t>乙方：</w:t>
      </w:r>
    </w:p>
    <w:p>
      <w:pPr>
        <w:snapToGrid w:val="0"/>
        <w:spacing w:line="360" w:lineRule="auto"/>
        <w:ind w:firstLine="420" w:firstLineChars="200"/>
        <w:outlineLvl w:val="0"/>
        <w:rPr>
          <w:rFonts w:hint="eastAsia" w:ascii="宋体" w:hAnsi="宋体" w:eastAsia="宋体" w:cs="宋体"/>
          <w:sz w:val="21"/>
          <w:szCs w:val="21"/>
        </w:rPr>
      </w:pPr>
      <w:r>
        <w:rPr>
          <w:rFonts w:hint="eastAsia" w:ascii="宋体" w:hAnsi="宋体" w:eastAsia="宋体" w:cs="宋体"/>
          <w:sz w:val="21"/>
          <w:szCs w:val="21"/>
        </w:rPr>
        <w:t>甲乙双方根据《中华人民共和国民法典》和《中华人民共和国政府采购法》等有关法律法规的规定，经双方协商一致，订立合同如下：</w:t>
      </w:r>
    </w:p>
    <w:p>
      <w:pPr>
        <w:keepNext w:val="0"/>
        <w:keepLines w:val="0"/>
        <w:pageBreakBefore w:val="0"/>
        <w:widowControl w:val="0"/>
        <w:kinsoku/>
        <w:wordWrap/>
        <w:overflowPunct/>
        <w:topLinePunct w:val="0"/>
        <w:autoSpaceDE/>
        <w:autoSpaceDN/>
        <w:bidi w:val="0"/>
        <w:snapToGrid w:val="0"/>
        <w:spacing w:line="360" w:lineRule="auto"/>
        <w:ind w:firstLine="422" w:firstLineChars="200"/>
        <w:outlineLvl w:val="0"/>
        <w:rPr>
          <w:rFonts w:hint="eastAsia" w:ascii="宋体" w:hAnsi="宋体" w:eastAsia="宋体" w:cs="宋体"/>
          <w:b/>
          <w:sz w:val="21"/>
          <w:szCs w:val="21"/>
        </w:rPr>
      </w:pPr>
      <w:r>
        <w:rPr>
          <w:rFonts w:hint="eastAsia" w:ascii="宋体" w:hAnsi="宋体" w:eastAsia="宋体" w:cs="宋体"/>
          <w:b/>
          <w:sz w:val="21"/>
          <w:szCs w:val="21"/>
        </w:rPr>
        <w:t>第一条  项目的名称、项目总价和服务内容和仪器设备工具的清单（名称、数量、规格、单价、型号、品牌和技术指标等）</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outlineLvl w:val="9"/>
        <w:rPr>
          <w:rFonts w:hint="eastAsia" w:ascii="宋体" w:hAnsi="宋体" w:eastAsia="宋体" w:cs="宋体"/>
          <w:sz w:val="21"/>
          <w:szCs w:val="21"/>
        </w:rPr>
      </w:pPr>
      <w:r>
        <w:rPr>
          <w:rFonts w:hint="eastAsia" w:ascii="宋体" w:hAnsi="宋体" w:eastAsia="宋体" w:cs="宋体"/>
          <w:sz w:val="21"/>
          <w:szCs w:val="21"/>
        </w:rPr>
        <w:t>1.项目名称：</w:t>
      </w:r>
      <w:r>
        <w:rPr>
          <w:rFonts w:hint="eastAsia" w:ascii="宋体" w:hAnsi="宋体" w:eastAsia="宋体" w:cs="宋体"/>
          <w:sz w:val="21"/>
          <w:szCs w:val="21"/>
          <w:u w:val="single"/>
        </w:rPr>
        <w:t>2024年数字江门网络建设有限公司网络安全运维服务项目。</w:t>
      </w:r>
    </w:p>
    <w:p>
      <w:pPr>
        <w:keepNext w:val="0"/>
        <w:keepLines w:val="0"/>
        <w:pageBreakBefore w:val="0"/>
        <w:widowControl w:val="0"/>
        <w:tabs>
          <w:tab w:val="right" w:leader="dot" w:pos="8296"/>
        </w:tabs>
        <w:kinsoku/>
        <w:wordWrap/>
        <w:overflowPunct/>
        <w:topLinePunct w:val="0"/>
        <w:autoSpaceDE/>
        <w:autoSpaceDN/>
        <w:bidi w:val="0"/>
        <w:adjustRightInd w:val="0"/>
        <w:snapToGrid/>
        <w:spacing w:line="360" w:lineRule="auto"/>
        <w:ind w:firstLine="420" w:firstLineChars="200"/>
        <w:textAlignment w:val="top"/>
        <w:outlineLvl w:val="9"/>
        <w:rPr>
          <w:rFonts w:hint="eastAsia" w:ascii="宋体" w:hAnsi="宋体" w:eastAsia="宋体" w:cs="宋体"/>
          <w:sz w:val="21"/>
          <w:szCs w:val="21"/>
          <w:u w:val="single"/>
        </w:rPr>
      </w:pPr>
      <w:r>
        <w:rPr>
          <w:rFonts w:hint="eastAsia" w:ascii="宋体" w:hAnsi="宋体" w:eastAsia="宋体" w:cs="宋体"/>
          <w:sz w:val="21"/>
          <w:szCs w:val="21"/>
        </w:rPr>
        <w:t>2.项目总价为（小写）</w:t>
      </w:r>
      <w:r>
        <w:rPr>
          <w:rFonts w:hint="eastAsia" w:ascii="宋体" w:hAnsi="宋体" w:eastAsia="宋体" w:cs="宋体"/>
          <w:sz w:val="21"/>
          <w:szCs w:val="21"/>
          <w:u w:val="single"/>
        </w:rPr>
        <w:t>￥</w:t>
      </w:r>
      <w:r>
        <w:rPr>
          <w:rFonts w:hint="eastAsia" w:ascii="宋体" w:hAnsi="宋体" w:eastAsia="宋体" w:cs="宋体"/>
          <w:sz w:val="21"/>
          <w:szCs w:val="21"/>
          <w:u w:val="single"/>
          <w:lang w:val="en-US" w:eastAsia="zh-CN"/>
        </w:rPr>
        <w:t>X</w:t>
      </w:r>
      <w:r>
        <w:rPr>
          <w:rFonts w:hint="eastAsia" w:ascii="宋体" w:hAnsi="宋体" w:eastAsia="宋体" w:cs="宋体"/>
          <w:sz w:val="21"/>
          <w:szCs w:val="21"/>
          <w:u w:val="single"/>
        </w:rPr>
        <w:t>元</w:t>
      </w:r>
      <w:r>
        <w:rPr>
          <w:rFonts w:hint="eastAsia" w:ascii="宋体" w:hAnsi="宋体" w:eastAsia="宋体" w:cs="宋体"/>
          <w:sz w:val="21"/>
          <w:szCs w:val="21"/>
          <w:u w:val="single"/>
          <w:lang w:eastAsia="zh-CN"/>
        </w:rPr>
        <w:t>，</w:t>
      </w:r>
      <w:r>
        <w:rPr>
          <w:rFonts w:hint="eastAsia" w:ascii="宋体" w:hAnsi="宋体" w:eastAsia="宋体" w:cs="宋体"/>
          <w:sz w:val="21"/>
          <w:szCs w:val="21"/>
        </w:rPr>
        <w:t>（大写）</w:t>
      </w:r>
      <w:r>
        <w:rPr>
          <w:rFonts w:hint="eastAsia" w:ascii="宋体" w:hAnsi="宋体" w:eastAsia="宋体" w:cs="宋体"/>
          <w:sz w:val="21"/>
          <w:szCs w:val="21"/>
          <w:u w:val="single"/>
        </w:rPr>
        <w:t>人民币</w:t>
      </w:r>
      <w:r>
        <w:rPr>
          <w:rFonts w:hint="eastAsia" w:ascii="宋体" w:hAnsi="宋体" w:eastAsia="宋体" w:cs="宋体"/>
          <w:sz w:val="21"/>
          <w:szCs w:val="21"/>
          <w:u w:val="single"/>
          <w:lang w:val="en-US" w:eastAsia="zh-CN"/>
        </w:rPr>
        <w:t>X</w:t>
      </w:r>
      <w:r>
        <w:rPr>
          <w:rFonts w:hint="eastAsia" w:ascii="宋体" w:hAnsi="宋体" w:eastAsia="宋体" w:cs="宋体"/>
          <w:sz w:val="21"/>
          <w:szCs w:val="21"/>
          <w:u w:val="single"/>
        </w:rPr>
        <w:t>。</w:t>
      </w:r>
      <w:r>
        <w:rPr>
          <w:rFonts w:hint="eastAsia" w:ascii="宋体" w:hAnsi="宋体" w:eastAsia="宋体" w:cs="宋体"/>
          <w:smallCaps w:val="0"/>
          <w:sz w:val="21"/>
          <w:szCs w:val="21"/>
          <w:highlight w:val="none"/>
          <w:u w:val="single"/>
        </w:rPr>
        <w:t>不含税金额¥</w:t>
      </w:r>
      <w:r>
        <w:rPr>
          <w:rFonts w:hint="eastAsia" w:ascii="宋体" w:hAnsi="宋体" w:eastAsia="宋体" w:cs="宋体"/>
          <w:smallCaps w:val="0"/>
          <w:sz w:val="21"/>
          <w:szCs w:val="21"/>
          <w:highlight w:val="none"/>
          <w:u w:val="single"/>
          <w:lang w:val="en-US" w:eastAsia="zh-CN"/>
        </w:rPr>
        <w:t>X</w:t>
      </w:r>
      <w:r>
        <w:rPr>
          <w:rFonts w:hint="eastAsia" w:ascii="宋体" w:hAnsi="宋体" w:eastAsia="宋体" w:cs="宋体"/>
          <w:smallCaps w:val="0"/>
          <w:sz w:val="21"/>
          <w:szCs w:val="21"/>
          <w:highlight w:val="none"/>
          <w:u w:val="single"/>
        </w:rPr>
        <w:t>元，（大写）人民币</w:t>
      </w:r>
      <w:r>
        <w:rPr>
          <w:rFonts w:hint="eastAsia" w:ascii="宋体" w:hAnsi="宋体" w:eastAsia="宋体" w:cs="宋体"/>
          <w:smallCaps w:val="0"/>
          <w:sz w:val="21"/>
          <w:szCs w:val="21"/>
          <w:highlight w:val="none"/>
          <w:u w:val="single"/>
          <w:lang w:val="en-US" w:eastAsia="zh-CN"/>
        </w:rPr>
        <w:t>X</w:t>
      </w:r>
      <w:r>
        <w:rPr>
          <w:rFonts w:hint="eastAsia" w:ascii="宋体" w:hAnsi="宋体" w:eastAsia="宋体" w:cs="宋体"/>
          <w:smallCaps w:val="0"/>
          <w:sz w:val="21"/>
          <w:szCs w:val="21"/>
          <w:highlight w:val="none"/>
          <w:u w:val="single"/>
        </w:rPr>
        <w:t>，增值税税额¥</w:t>
      </w:r>
      <w:r>
        <w:rPr>
          <w:rFonts w:hint="eastAsia" w:ascii="宋体" w:hAnsi="宋体" w:eastAsia="宋体" w:cs="宋体"/>
          <w:smallCaps w:val="0"/>
          <w:sz w:val="21"/>
          <w:szCs w:val="21"/>
          <w:highlight w:val="none"/>
          <w:u w:val="single"/>
          <w:lang w:val="en-US" w:eastAsia="zh-CN"/>
        </w:rPr>
        <w:t>X</w:t>
      </w:r>
      <w:r>
        <w:rPr>
          <w:rFonts w:hint="eastAsia" w:ascii="宋体" w:hAnsi="宋体" w:eastAsia="宋体" w:cs="宋体"/>
          <w:smallCaps w:val="0"/>
          <w:sz w:val="21"/>
          <w:szCs w:val="21"/>
          <w:highlight w:val="none"/>
          <w:u w:val="single"/>
        </w:rPr>
        <w:t>元,（大写）人民币</w:t>
      </w:r>
      <w:r>
        <w:rPr>
          <w:rFonts w:hint="eastAsia" w:ascii="宋体" w:hAnsi="宋体" w:eastAsia="宋体" w:cs="宋体"/>
          <w:smallCaps w:val="0"/>
          <w:sz w:val="21"/>
          <w:szCs w:val="21"/>
          <w:highlight w:val="none"/>
          <w:u w:val="single"/>
          <w:lang w:val="en-US" w:eastAsia="zh-CN"/>
        </w:rPr>
        <w:t>X</w:t>
      </w:r>
      <w:r>
        <w:rPr>
          <w:rFonts w:hint="eastAsia" w:ascii="宋体" w:hAnsi="宋体" w:eastAsia="宋体" w:cs="宋体"/>
          <w:smallCaps w:val="0"/>
          <w:sz w:val="21"/>
          <w:szCs w:val="21"/>
          <w:highlight w:val="none"/>
          <w:u w:val="single"/>
        </w:rPr>
        <w:t>，提供税率为</w:t>
      </w:r>
      <w:r>
        <w:rPr>
          <w:rFonts w:hint="eastAsia" w:ascii="宋体" w:hAnsi="宋体" w:eastAsia="宋体" w:cs="宋体"/>
          <w:smallCaps w:val="0"/>
          <w:sz w:val="21"/>
          <w:szCs w:val="21"/>
          <w:highlight w:val="none"/>
          <w:u w:val="single"/>
          <w:lang w:val="en-US" w:eastAsia="zh-CN"/>
        </w:rPr>
        <w:t>6</w:t>
      </w:r>
      <w:r>
        <w:rPr>
          <w:rFonts w:hint="eastAsia" w:ascii="宋体" w:hAnsi="宋体" w:eastAsia="宋体" w:cs="宋体"/>
          <w:smallCaps w:val="0"/>
          <w:sz w:val="21"/>
          <w:szCs w:val="21"/>
          <w:highlight w:val="none"/>
          <w:u w:val="single"/>
        </w:rPr>
        <w:t>%的增值税发票</w:t>
      </w:r>
      <w:r>
        <w:rPr>
          <w:rFonts w:hint="eastAsia" w:ascii="宋体" w:hAnsi="宋体" w:eastAsia="宋体" w:cs="宋体"/>
          <w:smallCaps w:val="0"/>
          <w:sz w:val="21"/>
          <w:szCs w:val="21"/>
          <w:highlight w:val="none"/>
          <w:u w:val="single"/>
          <w:lang w:eastAsia="zh-CN"/>
        </w:rPr>
        <w:t>。</w:t>
      </w:r>
    </w:p>
    <w:p>
      <w:pPr>
        <w:keepNext w:val="0"/>
        <w:keepLines w:val="0"/>
        <w:pageBreakBefore w:val="0"/>
        <w:widowControl w:val="0"/>
        <w:numPr>
          <w:ilvl w:val="-1"/>
          <w:numId w:val="0"/>
        </w:numPr>
        <w:kinsoku/>
        <w:wordWrap/>
        <w:overflowPunct/>
        <w:topLinePunct w:val="0"/>
        <w:autoSpaceDE/>
        <w:autoSpaceDN/>
        <w:bidi w:val="0"/>
        <w:adjustRightInd w:val="0"/>
        <w:snapToGrid/>
        <w:spacing w:line="360" w:lineRule="auto"/>
        <w:ind w:left="0" w:firstLine="420" w:firstLineChars="200"/>
        <w:textAlignment w:val="top"/>
        <w:outlineLvl w:val="9"/>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服务</w:t>
      </w:r>
      <w:r>
        <w:rPr>
          <w:rFonts w:hint="eastAsia" w:ascii="宋体" w:hAnsi="宋体" w:eastAsia="宋体" w:cs="宋体"/>
          <w:sz w:val="21"/>
          <w:szCs w:val="21"/>
        </w:rPr>
        <w:t>内容：</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680" w:leftChars="0"/>
        <w:textAlignment w:val="top"/>
        <w:outlineLvl w:val="9"/>
        <w:rPr>
          <w:rFonts w:hint="eastAsia" w:ascii="宋体" w:hAnsi="宋体" w:eastAsia="宋体" w:cs="宋体"/>
          <w:sz w:val="21"/>
          <w:szCs w:val="21"/>
          <w:lang w:eastAsia="zh-CN"/>
        </w:rPr>
      </w:pPr>
      <w:r>
        <w:rPr>
          <w:rFonts w:hint="eastAsia" w:ascii="宋体" w:hAnsi="宋体" w:eastAsia="宋体" w:cs="宋体"/>
          <w:sz w:val="21"/>
          <w:szCs w:val="21"/>
          <w:lang w:eastAsia="zh-CN"/>
        </w:rPr>
        <w:t>提供以下设备及软件的维护服务：</w:t>
      </w:r>
    </w:p>
    <w:tbl>
      <w:tblPr>
        <w:tblStyle w:val="11"/>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07"/>
        <w:gridCol w:w="833"/>
        <w:gridCol w:w="2933"/>
        <w:gridCol w:w="1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07" w:type="dxa"/>
            <w:vAlign w:val="center"/>
          </w:tcPr>
          <w:p>
            <w:pPr>
              <w:pStyle w:val="20"/>
              <w:widowControl w:val="0"/>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安全产品及管理</w:t>
            </w:r>
          </w:p>
        </w:tc>
        <w:tc>
          <w:tcPr>
            <w:tcW w:w="833" w:type="dxa"/>
            <w:vAlign w:val="center"/>
          </w:tcPr>
          <w:p>
            <w:pPr>
              <w:pStyle w:val="20"/>
              <w:widowControl w:val="0"/>
              <w:spacing w:line="360" w:lineRule="auto"/>
              <w:ind w:firstLine="0" w:firstLineChars="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数量</w:t>
            </w:r>
          </w:p>
        </w:tc>
        <w:tc>
          <w:tcPr>
            <w:tcW w:w="2933" w:type="dxa"/>
            <w:vAlign w:val="center"/>
          </w:tcPr>
          <w:p>
            <w:pPr>
              <w:pStyle w:val="20"/>
              <w:widowControl w:val="0"/>
              <w:spacing w:line="360" w:lineRule="auto"/>
              <w:ind w:firstLine="0" w:firstLineChars="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服务内容</w:t>
            </w:r>
          </w:p>
        </w:tc>
        <w:tc>
          <w:tcPr>
            <w:tcW w:w="1760" w:type="dxa"/>
            <w:vAlign w:val="center"/>
          </w:tcPr>
          <w:p>
            <w:pPr>
              <w:pStyle w:val="20"/>
              <w:widowControl w:val="0"/>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部署位置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07" w:type="dxa"/>
            <w:vAlign w:val="center"/>
          </w:tcPr>
          <w:p>
            <w:pPr>
              <w:pStyle w:val="20"/>
              <w:widowControl w:val="0"/>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深信服下一代防火墙AF-1000-B1080（基础级）</w:t>
            </w:r>
          </w:p>
        </w:tc>
        <w:tc>
          <w:tcPr>
            <w:tcW w:w="833" w:type="dxa"/>
            <w:vAlign w:val="center"/>
          </w:tcPr>
          <w:p>
            <w:pPr>
              <w:pStyle w:val="20"/>
              <w:widowControl w:val="0"/>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2933" w:type="dxa"/>
            <w:vAlign w:val="center"/>
          </w:tcPr>
          <w:p>
            <w:pPr>
              <w:pStyle w:val="20"/>
              <w:widowControl w:val="0"/>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产品质保、软件升级</w:t>
            </w:r>
          </w:p>
        </w:tc>
        <w:tc>
          <w:tcPr>
            <w:tcW w:w="1760" w:type="dxa"/>
            <w:vMerge w:val="restart"/>
            <w:vAlign w:val="center"/>
          </w:tcPr>
          <w:p>
            <w:pPr>
              <w:pStyle w:val="20"/>
              <w:widowControl w:val="0"/>
              <w:spacing w:line="360" w:lineRule="auto"/>
              <w:ind w:firstLine="0" w:firstLineChars="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数字江门网络建设有限公司指定地点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507" w:type="dxa"/>
            <w:vAlign w:val="center"/>
          </w:tcPr>
          <w:p>
            <w:pPr>
              <w:pStyle w:val="20"/>
              <w:widowControl w:val="0"/>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深信服上网行为管理AC-1000-B1060</w:t>
            </w:r>
          </w:p>
        </w:tc>
        <w:tc>
          <w:tcPr>
            <w:tcW w:w="833" w:type="dxa"/>
            <w:vAlign w:val="center"/>
          </w:tcPr>
          <w:p>
            <w:pPr>
              <w:pStyle w:val="20"/>
              <w:widowControl w:val="0"/>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2933" w:type="dxa"/>
            <w:vAlign w:val="center"/>
          </w:tcPr>
          <w:p>
            <w:pPr>
              <w:pStyle w:val="20"/>
              <w:widowControl w:val="0"/>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URL&amp;应用识别规则库升级、产品质保、软件升级</w:t>
            </w:r>
          </w:p>
        </w:tc>
        <w:tc>
          <w:tcPr>
            <w:tcW w:w="1760" w:type="dxa"/>
            <w:vMerge w:val="continue"/>
            <w:vAlign w:val="center"/>
          </w:tcPr>
          <w:p>
            <w:pPr>
              <w:pStyle w:val="20"/>
              <w:widowControl w:val="0"/>
              <w:spacing w:line="360" w:lineRule="auto"/>
              <w:ind w:firstLine="0" w:firstLineChars="0"/>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7" w:type="dxa"/>
            <w:vAlign w:val="center"/>
          </w:tcPr>
          <w:p>
            <w:pPr>
              <w:pStyle w:val="20"/>
              <w:widowControl w:val="0"/>
              <w:spacing w:line="360" w:lineRule="auto"/>
              <w:ind w:firstLine="0" w:firstLineChars="0"/>
              <w:jc w:val="both"/>
              <w:rPr>
                <w:rFonts w:hint="eastAsia" w:ascii="宋体" w:hAnsi="宋体" w:eastAsia="宋体" w:cs="宋体"/>
                <w:sz w:val="21"/>
                <w:szCs w:val="21"/>
              </w:rPr>
            </w:pPr>
            <w:r>
              <w:rPr>
                <w:rFonts w:hint="eastAsia" w:ascii="宋体" w:hAnsi="宋体" w:eastAsia="宋体" w:cs="宋体"/>
                <w:sz w:val="21"/>
                <w:szCs w:val="21"/>
              </w:rPr>
              <w:t>深信服终端检测响应软件EDR</w:t>
            </w:r>
          </w:p>
        </w:tc>
        <w:tc>
          <w:tcPr>
            <w:tcW w:w="833" w:type="dxa"/>
            <w:vAlign w:val="center"/>
          </w:tcPr>
          <w:p>
            <w:pPr>
              <w:pStyle w:val="20"/>
              <w:widowControl w:val="0"/>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2933" w:type="dxa"/>
            <w:vAlign w:val="center"/>
          </w:tcPr>
          <w:p>
            <w:pPr>
              <w:pStyle w:val="20"/>
              <w:widowControl w:val="0"/>
              <w:spacing w:line="360" w:lineRule="auto"/>
              <w:ind w:firstLine="0" w:firstLineChars="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软件升级</w:t>
            </w:r>
          </w:p>
        </w:tc>
        <w:tc>
          <w:tcPr>
            <w:tcW w:w="1760" w:type="dxa"/>
            <w:vMerge w:val="continue"/>
            <w:vAlign w:val="center"/>
          </w:tcPr>
          <w:p>
            <w:pPr>
              <w:pStyle w:val="20"/>
              <w:widowControl w:val="0"/>
              <w:spacing w:line="360" w:lineRule="auto"/>
              <w:ind w:firstLine="0" w:firstLineChars="0"/>
              <w:jc w:val="center"/>
              <w:rPr>
                <w:rFonts w:hint="eastAsia" w:ascii="宋体" w:hAnsi="宋体" w:eastAsia="宋体" w:cs="宋体"/>
                <w:sz w:val="21"/>
                <w:szCs w:val="21"/>
              </w:rPr>
            </w:pPr>
          </w:p>
        </w:tc>
      </w:tr>
    </w:tbl>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680" w:leftChars="0"/>
        <w:textAlignment w:val="top"/>
        <w:outlineLvl w:val="9"/>
        <w:rPr>
          <w:rFonts w:hint="eastAsia" w:ascii="宋体" w:hAnsi="宋体" w:eastAsia="宋体" w:cs="宋体"/>
          <w:sz w:val="21"/>
          <w:szCs w:val="21"/>
          <w:lang w:eastAsia="zh-CN"/>
        </w:rPr>
      </w:pPr>
    </w:p>
    <w:p>
      <w:pPr>
        <w:numPr>
          <w:ilvl w:val="0"/>
          <w:numId w:val="0"/>
        </w:num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rPr>
        <w:t>第</w:t>
      </w:r>
      <w:r>
        <w:rPr>
          <w:rFonts w:hint="eastAsia" w:ascii="宋体" w:hAnsi="宋体" w:eastAsia="宋体" w:cs="宋体"/>
          <w:b/>
          <w:sz w:val="21"/>
          <w:szCs w:val="21"/>
          <w:lang w:eastAsia="zh-CN"/>
        </w:rPr>
        <w:t>二</w:t>
      </w:r>
      <w:r>
        <w:rPr>
          <w:rFonts w:hint="eastAsia" w:ascii="宋体" w:hAnsi="宋体" w:eastAsia="宋体" w:cs="宋体"/>
          <w:b/>
          <w:sz w:val="21"/>
          <w:szCs w:val="21"/>
        </w:rPr>
        <w:t xml:space="preserve">条  </w:t>
      </w:r>
      <w:r>
        <w:rPr>
          <w:rFonts w:hint="eastAsia" w:ascii="宋体" w:hAnsi="宋体" w:eastAsia="宋体" w:cs="宋体"/>
          <w:b/>
          <w:sz w:val="21"/>
          <w:szCs w:val="21"/>
          <w:lang w:eastAsia="zh-CN"/>
        </w:rPr>
        <w:t>服务期</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1.合同签订生效之日起提供一年</w:t>
      </w:r>
      <w:r>
        <w:rPr>
          <w:rFonts w:hint="eastAsia" w:ascii="宋体" w:hAnsi="宋体" w:eastAsia="宋体" w:cs="宋体"/>
          <w:sz w:val="21"/>
          <w:szCs w:val="21"/>
          <w:lang w:eastAsia="zh-CN"/>
        </w:rPr>
        <w:t>设备及软件的维护</w:t>
      </w:r>
      <w:r>
        <w:rPr>
          <w:rFonts w:hint="eastAsia" w:ascii="宋体" w:hAnsi="宋体" w:eastAsia="宋体" w:cs="宋体"/>
          <w:sz w:val="21"/>
          <w:szCs w:val="21"/>
        </w:rPr>
        <w:t>服务。在维护期内，</w:t>
      </w:r>
      <w:r>
        <w:rPr>
          <w:rFonts w:hint="eastAsia" w:ascii="宋体" w:hAnsi="宋体" w:eastAsia="宋体" w:cs="宋体"/>
          <w:sz w:val="21"/>
          <w:szCs w:val="21"/>
          <w:lang w:val="en-US" w:eastAsia="zh-CN"/>
        </w:rPr>
        <w:t>乙方</w:t>
      </w:r>
      <w:r>
        <w:rPr>
          <w:rFonts w:hint="eastAsia" w:ascii="宋体" w:hAnsi="宋体" w:eastAsia="宋体" w:cs="宋体"/>
          <w:sz w:val="21"/>
          <w:szCs w:val="21"/>
        </w:rPr>
        <w:t>需提供免费上门服务。</w:t>
      </w:r>
    </w:p>
    <w:p>
      <w:pPr>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lang w:val="en-US" w:eastAsia="zh-CN"/>
        </w:rPr>
        <w:t xml:space="preserve">第三条  </w:t>
      </w:r>
      <w:r>
        <w:rPr>
          <w:rFonts w:hint="eastAsia" w:ascii="宋体" w:hAnsi="宋体" w:eastAsia="宋体" w:cs="宋体"/>
          <w:b/>
          <w:sz w:val="21"/>
          <w:szCs w:val="21"/>
        </w:rPr>
        <w:t>售后/运维要求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平台发生故障后，自报障时起算，半小时内响应，若远程维护无法解决，2小时内到达现场，8小时内解决问题，如果平台故障在规定时间内仍无法排除，</w:t>
      </w:r>
      <w:r>
        <w:rPr>
          <w:rFonts w:hint="eastAsia" w:ascii="宋体" w:hAnsi="宋体" w:eastAsia="宋体" w:cs="宋体"/>
          <w:sz w:val="21"/>
          <w:szCs w:val="21"/>
          <w:lang w:val="en-US" w:eastAsia="zh-CN"/>
        </w:rPr>
        <w:t>乙方</w:t>
      </w:r>
      <w:r>
        <w:rPr>
          <w:rFonts w:hint="eastAsia" w:ascii="宋体" w:hAnsi="宋体" w:eastAsia="宋体" w:cs="宋体"/>
          <w:sz w:val="21"/>
          <w:szCs w:val="21"/>
        </w:rPr>
        <w:t>应在随后24小时内提供不低于故障产品规格型号档次的备用产品供</w:t>
      </w:r>
      <w:r>
        <w:rPr>
          <w:rFonts w:hint="eastAsia" w:ascii="宋体" w:hAnsi="宋体" w:eastAsia="宋体" w:cs="宋体"/>
          <w:sz w:val="21"/>
          <w:szCs w:val="21"/>
          <w:lang w:val="en-US" w:eastAsia="zh-CN"/>
        </w:rPr>
        <w:t>甲方</w:t>
      </w:r>
      <w:r>
        <w:rPr>
          <w:rFonts w:hint="eastAsia" w:ascii="宋体" w:hAnsi="宋体" w:eastAsia="宋体" w:cs="宋体"/>
          <w:sz w:val="21"/>
          <w:szCs w:val="21"/>
        </w:rPr>
        <w:t xml:space="preserve">代替使用或采取应急措施解决，直至故障修复，确保平台的正常使用（如因硬件损坏需进行更换的，48小时内解决问题）。 </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乙方</w:t>
      </w:r>
      <w:r>
        <w:rPr>
          <w:rFonts w:hint="eastAsia" w:ascii="宋体" w:hAnsi="宋体" w:eastAsia="宋体" w:cs="宋体"/>
          <w:sz w:val="21"/>
          <w:szCs w:val="21"/>
        </w:rPr>
        <w:t>须负责培训</w:t>
      </w:r>
      <w:r>
        <w:rPr>
          <w:rFonts w:hint="eastAsia" w:ascii="宋体" w:hAnsi="宋体" w:eastAsia="宋体" w:cs="宋体"/>
          <w:sz w:val="21"/>
          <w:szCs w:val="21"/>
          <w:lang w:val="en-US" w:eastAsia="zh-CN"/>
        </w:rPr>
        <w:t>甲方</w:t>
      </w:r>
      <w:r>
        <w:rPr>
          <w:rFonts w:hint="eastAsia" w:ascii="宋体" w:hAnsi="宋体" w:eastAsia="宋体" w:cs="宋体"/>
          <w:sz w:val="21"/>
          <w:szCs w:val="21"/>
        </w:rPr>
        <w:t>的使用人员，直至完全掌握系统的操作、日常维护保养及简单维修方法。</w:t>
      </w:r>
    </w:p>
    <w:p>
      <w:pPr>
        <w:numPr>
          <w:ilvl w:val="0"/>
          <w:numId w:val="0"/>
        </w:num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lang w:eastAsia="zh-CN"/>
        </w:rPr>
        <w:t>第</w:t>
      </w:r>
      <w:r>
        <w:rPr>
          <w:rFonts w:hint="eastAsia" w:ascii="宋体" w:hAnsi="宋体" w:eastAsia="宋体" w:cs="宋体"/>
          <w:b/>
          <w:sz w:val="21"/>
          <w:szCs w:val="21"/>
          <w:lang w:val="en-US" w:eastAsia="zh-CN"/>
        </w:rPr>
        <w:t>四</w:t>
      </w:r>
      <w:r>
        <w:rPr>
          <w:rFonts w:hint="eastAsia" w:ascii="宋体" w:hAnsi="宋体" w:eastAsia="宋体" w:cs="宋体"/>
          <w:b/>
          <w:sz w:val="21"/>
          <w:szCs w:val="21"/>
          <w:lang w:eastAsia="zh-CN"/>
        </w:rPr>
        <w:t>条</w:t>
      </w:r>
      <w:r>
        <w:rPr>
          <w:rFonts w:hint="eastAsia" w:ascii="宋体" w:hAnsi="宋体" w:eastAsia="宋体" w:cs="宋体"/>
          <w:b/>
          <w:sz w:val="21"/>
          <w:szCs w:val="21"/>
        </w:rPr>
        <w:t xml:space="preserve">  结算</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1.该合同总价：</w:t>
      </w:r>
      <w:r>
        <w:rPr>
          <w:rFonts w:hint="eastAsia" w:ascii="宋体" w:hAnsi="宋体" w:eastAsia="宋体" w:cs="宋体"/>
          <w:sz w:val="21"/>
          <w:szCs w:val="21"/>
          <w:u w:val="single"/>
        </w:rPr>
        <w:t>￥</w:t>
      </w:r>
      <w:r>
        <w:rPr>
          <w:rFonts w:hint="eastAsia" w:ascii="宋体" w:hAnsi="宋体" w:eastAsia="宋体" w:cs="宋体"/>
          <w:sz w:val="21"/>
          <w:szCs w:val="21"/>
          <w:u w:val="single"/>
          <w:lang w:val="en-US" w:eastAsia="zh-CN"/>
        </w:rPr>
        <w:t>X</w:t>
      </w:r>
      <w:r>
        <w:rPr>
          <w:rFonts w:hint="eastAsia" w:ascii="宋体" w:hAnsi="宋体" w:eastAsia="宋体" w:cs="宋体"/>
          <w:sz w:val="21"/>
          <w:szCs w:val="21"/>
          <w:u w:val="single"/>
        </w:rPr>
        <w:t>元</w:t>
      </w:r>
      <w:r>
        <w:rPr>
          <w:rFonts w:hint="eastAsia" w:ascii="宋体" w:hAnsi="宋体" w:eastAsia="宋体" w:cs="宋体"/>
          <w:sz w:val="21"/>
          <w:szCs w:val="21"/>
        </w:rPr>
        <w:t>（含税），税率6%。</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2.方式：一次性付款：</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合同签订生效及收到</w:t>
      </w:r>
      <w:r>
        <w:rPr>
          <w:rFonts w:hint="eastAsia" w:ascii="宋体" w:hAnsi="宋体" w:eastAsia="宋体" w:cs="宋体"/>
          <w:sz w:val="21"/>
          <w:szCs w:val="21"/>
          <w:lang w:val="en-US" w:eastAsia="zh-CN"/>
        </w:rPr>
        <w:t>乙方</w:t>
      </w:r>
      <w:r>
        <w:rPr>
          <w:rFonts w:hint="eastAsia" w:ascii="宋体" w:hAnsi="宋体" w:eastAsia="宋体" w:cs="宋体"/>
          <w:sz w:val="21"/>
          <w:szCs w:val="21"/>
        </w:rPr>
        <w:t>开具的符合国家财务规定的增值税专用发票后5个工作日内，</w:t>
      </w:r>
      <w:r>
        <w:rPr>
          <w:rFonts w:hint="eastAsia" w:ascii="宋体" w:hAnsi="宋体" w:eastAsia="宋体" w:cs="宋体"/>
          <w:sz w:val="21"/>
          <w:szCs w:val="21"/>
          <w:lang w:val="en-US" w:eastAsia="zh-CN"/>
        </w:rPr>
        <w:t>甲方</w:t>
      </w:r>
      <w:r>
        <w:rPr>
          <w:rFonts w:hint="eastAsia" w:ascii="宋体" w:hAnsi="宋体" w:eastAsia="宋体" w:cs="宋体"/>
          <w:sz w:val="21"/>
          <w:szCs w:val="21"/>
        </w:rPr>
        <w:t>将项目总金额的100%，支付至合同中注明的</w:t>
      </w:r>
      <w:r>
        <w:rPr>
          <w:rFonts w:hint="eastAsia" w:ascii="宋体" w:hAnsi="宋体" w:eastAsia="宋体" w:cs="宋体"/>
          <w:sz w:val="21"/>
          <w:szCs w:val="21"/>
          <w:lang w:val="en-US" w:eastAsia="zh-CN"/>
        </w:rPr>
        <w:t>乙方</w:t>
      </w:r>
      <w:r>
        <w:rPr>
          <w:rFonts w:hint="eastAsia" w:ascii="宋体" w:hAnsi="宋体" w:eastAsia="宋体" w:cs="宋体"/>
          <w:sz w:val="21"/>
          <w:szCs w:val="21"/>
        </w:rPr>
        <w:t>银行账号</w:t>
      </w:r>
      <w:r>
        <w:rPr>
          <w:rFonts w:hint="eastAsia" w:ascii="宋体" w:hAnsi="宋体" w:eastAsia="宋体" w:cs="宋体"/>
          <w:sz w:val="21"/>
          <w:szCs w:val="21"/>
          <w:lang w:eastAsia="zh-CN"/>
        </w:rPr>
        <w:t>。</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3.乙方的银行信息如下：</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开户名称：</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开 户 行：</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账    号：</w:t>
      </w:r>
    </w:p>
    <w:p>
      <w:pPr>
        <w:numPr>
          <w:ilvl w:val="0"/>
          <w:numId w:val="0"/>
        </w:num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lang w:eastAsia="zh-CN"/>
        </w:rPr>
        <w:t>第</w:t>
      </w:r>
      <w:r>
        <w:rPr>
          <w:rFonts w:hint="eastAsia" w:ascii="宋体" w:hAnsi="宋体" w:eastAsia="宋体" w:cs="宋体"/>
          <w:b/>
          <w:sz w:val="21"/>
          <w:szCs w:val="21"/>
          <w:lang w:val="en-US" w:eastAsia="zh-CN"/>
        </w:rPr>
        <w:t>五</w:t>
      </w:r>
      <w:r>
        <w:rPr>
          <w:rFonts w:hint="eastAsia" w:ascii="宋体" w:hAnsi="宋体" w:eastAsia="宋体" w:cs="宋体"/>
          <w:b/>
          <w:sz w:val="21"/>
          <w:szCs w:val="21"/>
          <w:lang w:eastAsia="zh-CN"/>
        </w:rPr>
        <w:t>条</w:t>
      </w:r>
      <w:r>
        <w:rPr>
          <w:rFonts w:hint="eastAsia" w:ascii="宋体" w:hAnsi="宋体" w:eastAsia="宋体" w:cs="宋体"/>
          <w:b/>
          <w:sz w:val="21"/>
          <w:szCs w:val="21"/>
        </w:rPr>
        <w:t xml:space="preserve">  保密条款</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1.本合同一方（“资料披露方”）对其向本合同另一方（“资料接受方”）按照本合同规定所提供的各类技术和商业资料、规格说明、图纸、文件及专有技术等（以下简称“保密资料”）享有合法完整的所有权。</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2.除本合同授权实施的行为外，资料接受方应将保密资料作为商业秘密予以保护，且不得将该保密资料任何部分或全部进行复制或向第三方披露。资料接受方可仅为本合同的目的向其确有知悉必要的雇员披露对方提供的保密资料，但同时须指示其雇员遵守本章规定的保密及不披露义务。资料接受方应对根据本合同接受的保密资料妥善保管，向其提供不低于向接受方自有商业秘密提供的保护之保护。对于保密资料在资料接受方期间发生的被盗、遗失、不慎泄露以及其他对其保密性存在现实或潜在损害的事件，资料接受方应承担全部责任，并赔偿资料披露方因此遭受的全部经济损失。本合同终止或解除后，一方必须销毁所有保密资料的复制件并将原件返还给另一方。</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3.当出现下述情况时，本条对保密资料的限制不适用，当保密资料：</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（1）并非因资料接受方的过错而已经进入公有领域的。</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（2）已通过该方的有关记录证明是由资料接受方独立开发的。</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（3）由资料接受方从没有违反对资料披露方的保密义务的人处取得的。</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（4）法律或有关证券交易所、有管辖权的司法、监察机关要求资料接受方披露的，但资料接受方应在合理的时间提前通知资料披露方，使其得以采取其认为必要的保护措施。</w:t>
      </w:r>
    </w:p>
    <w:p>
      <w:pPr>
        <w:tabs>
          <w:tab w:val="left" w:pos="840"/>
        </w:tabs>
        <w:adjustRightInd w:val="0"/>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4.本合同保密期限为自本合同生效之日起叁（3）年。</w:t>
      </w:r>
    </w:p>
    <w:p>
      <w:pPr>
        <w:numPr>
          <w:ilvl w:val="0"/>
          <w:numId w:val="0"/>
        </w:num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lang w:eastAsia="zh-CN"/>
        </w:rPr>
        <w:t>第</w:t>
      </w:r>
      <w:r>
        <w:rPr>
          <w:rFonts w:hint="eastAsia" w:ascii="宋体" w:hAnsi="宋体" w:eastAsia="宋体" w:cs="宋体"/>
          <w:b/>
          <w:sz w:val="21"/>
          <w:szCs w:val="21"/>
          <w:lang w:val="en-US" w:eastAsia="zh-CN"/>
        </w:rPr>
        <w:t>六</w:t>
      </w:r>
      <w:r>
        <w:rPr>
          <w:rFonts w:hint="eastAsia" w:ascii="宋体" w:hAnsi="宋体" w:eastAsia="宋体" w:cs="宋体"/>
          <w:b/>
          <w:sz w:val="21"/>
          <w:szCs w:val="21"/>
          <w:lang w:eastAsia="zh-CN"/>
        </w:rPr>
        <w:t>条</w:t>
      </w:r>
      <w:r>
        <w:rPr>
          <w:rFonts w:hint="eastAsia" w:ascii="宋体" w:hAnsi="宋体" w:eastAsia="宋体" w:cs="宋体"/>
          <w:b/>
          <w:sz w:val="21"/>
          <w:szCs w:val="21"/>
        </w:rPr>
        <w:t xml:space="preserve">  不可抗力</w:t>
      </w:r>
    </w:p>
    <w:p>
      <w:pPr>
        <w:pStyle w:val="6"/>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numPr>
          <w:ilvl w:val="0"/>
          <w:numId w:val="0"/>
        </w:num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lang w:eastAsia="zh-CN"/>
        </w:rPr>
        <w:t>第</w:t>
      </w:r>
      <w:r>
        <w:rPr>
          <w:rFonts w:hint="eastAsia" w:ascii="宋体" w:hAnsi="宋体" w:eastAsia="宋体" w:cs="宋体"/>
          <w:b/>
          <w:sz w:val="21"/>
          <w:szCs w:val="21"/>
          <w:lang w:val="en-US" w:eastAsia="zh-CN"/>
        </w:rPr>
        <w:t>七</w:t>
      </w:r>
      <w:r>
        <w:rPr>
          <w:rFonts w:hint="eastAsia" w:ascii="宋体" w:hAnsi="宋体" w:eastAsia="宋体" w:cs="宋体"/>
          <w:b/>
          <w:sz w:val="21"/>
          <w:szCs w:val="21"/>
          <w:lang w:eastAsia="zh-CN"/>
        </w:rPr>
        <w:t>条</w:t>
      </w:r>
      <w:r>
        <w:rPr>
          <w:rFonts w:hint="eastAsia" w:ascii="宋体" w:hAnsi="宋体" w:eastAsia="宋体" w:cs="宋体"/>
          <w:b/>
          <w:sz w:val="21"/>
          <w:szCs w:val="21"/>
        </w:rPr>
        <w:t xml:space="preserve">  违约责任</w:t>
      </w:r>
    </w:p>
    <w:p>
      <w:pPr>
        <w:adjustRightInd w:val="0"/>
        <w:spacing w:line="360" w:lineRule="auto"/>
        <w:ind w:firstLine="420" w:firstLineChars="200"/>
        <w:jc w:val="left"/>
        <w:textAlignment w:val="top"/>
        <w:rPr>
          <w:rFonts w:hint="eastAsia" w:ascii="宋体" w:hAnsi="宋体" w:eastAsia="宋体" w:cs="宋体"/>
          <w:kern w:val="0"/>
          <w:sz w:val="21"/>
          <w:szCs w:val="21"/>
        </w:rPr>
      </w:pPr>
      <w:r>
        <w:rPr>
          <w:rFonts w:hint="eastAsia" w:ascii="宋体" w:hAnsi="宋体" w:eastAsia="宋体" w:cs="宋体"/>
          <w:kern w:val="0"/>
          <w:sz w:val="21"/>
          <w:szCs w:val="21"/>
        </w:rPr>
        <w:t>乙方的违约责任：若由于乙方的原因在约定的期限内无法</w:t>
      </w:r>
      <w:r>
        <w:rPr>
          <w:rFonts w:hint="eastAsia" w:ascii="宋体" w:hAnsi="宋体" w:eastAsia="宋体" w:cs="宋体"/>
          <w:kern w:val="0"/>
          <w:sz w:val="21"/>
          <w:szCs w:val="21"/>
          <w:lang w:val="en-US" w:eastAsia="zh-CN"/>
        </w:rPr>
        <w:t>提供服务</w:t>
      </w:r>
      <w:r>
        <w:rPr>
          <w:rFonts w:hint="eastAsia" w:ascii="宋体" w:hAnsi="宋体" w:eastAsia="宋体" w:cs="宋体"/>
          <w:kern w:val="0"/>
          <w:sz w:val="21"/>
          <w:szCs w:val="21"/>
        </w:rPr>
        <w:t>的，按合同总价3‰/日的标准计算乙方违约金，但违约金总额不得超过合同总价的</w:t>
      </w:r>
      <w:r>
        <w:rPr>
          <w:rFonts w:hint="eastAsia" w:ascii="宋体" w:hAnsi="宋体" w:eastAsia="宋体" w:cs="宋体"/>
          <w:kern w:val="0"/>
          <w:sz w:val="21"/>
          <w:szCs w:val="21"/>
          <w:lang w:val="en-US" w:eastAsia="zh-CN"/>
        </w:rPr>
        <w:t>20%</w:t>
      </w:r>
      <w:r>
        <w:rPr>
          <w:rFonts w:hint="eastAsia" w:ascii="宋体" w:hAnsi="宋体" w:eastAsia="宋体" w:cs="宋体"/>
          <w:kern w:val="0"/>
          <w:sz w:val="21"/>
          <w:szCs w:val="21"/>
        </w:rPr>
        <w:t>。</w:t>
      </w:r>
    </w:p>
    <w:p>
      <w:pPr>
        <w:adjustRightInd w:val="0"/>
        <w:spacing w:line="360" w:lineRule="auto"/>
        <w:ind w:firstLine="420" w:firstLineChars="200"/>
        <w:jc w:val="left"/>
        <w:textAlignment w:val="top"/>
        <w:rPr>
          <w:rFonts w:hint="eastAsia" w:ascii="宋体" w:hAnsi="宋体" w:eastAsia="宋体" w:cs="宋体"/>
          <w:kern w:val="0"/>
          <w:sz w:val="21"/>
          <w:szCs w:val="21"/>
        </w:rPr>
      </w:pPr>
      <w:r>
        <w:rPr>
          <w:rFonts w:hint="eastAsia" w:ascii="宋体" w:hAnsi="宋体" w:eastAsia="宋体" w:cs="宋体"/>
          <w:kern w:val="0"/>
          <w:sz w:val="21"/>
          <w:szCs w:val="21"/>
        </w:rPr>
        <w:t>甲方的违约责任：甲方逾期付款的，按合同总价3‰/日的标准计算</w:t>
      </w:r>
      <w:r>
        <w:rPr>
          <w:rFonts w:hint="eastAsia" w:ascii="宋体" w:hAnsi="宋体" w:eastAsia="宋体" w:cs="宋体"/>
          <w:kern w:val="0"/>
          <w:sz w:val="21"/>
          <w:szCs w:val="21"/>
          <w:lang w:eastAsia="zh-CN"/>
        </w:rPr>
        <w:t>甲方</w:t>
      </w:r>
      <w:r>
        <w:rPr>
          <w:rFonts w:hint="eastAsia" w:ascii="宋体" w:hAnsi="宋体" w:eastAsia="宋体" w:cs="宋体"/>
          <w:kern w:val="0"/>
          <w:sz w:val="21"/>
          <w:szCs w:val="21"/>
        </w:rPr>
        <w:t>违约金，但违约金总额不得超过合同总价的</w:t>
      </w:r>
      <w:r>
        <w:rPr>
          <w:rFonts w:hint="eastAsia" w:ascii="宋体" w:hAnsi="宋体" w:eastAsia="宋体" w:cs="宋体"/>
          <w:kern w:val="0"/>
          <w:sz w:val="21"/>
          <w:szCs w:val="21"/>
          <w:lang w:val="en-US" w:eastAsia="zh-CN"/>
        </w:rPr>
        <w:t>20%，</w:t>
      </w:r>
      <w:r>
        <w:rPr>
          <w:rFonts w:hint="eastAsia" w:ascii="宋体" w:hAnsi="宋体" w:eastAsia="宋体" w:cs="宋体"/>
          <w:kern w:val="0"/>
          <w:sz w:val="21"/>
          <w:szCs w:val="21"/>
        </w:rPr>
        <w:t>甲方违反合同规定拒绝接受本合同项目的，视为乙方已交付合格项目，甲方应当赔偿由此而对乙方造成的一切损失。</w:t>
      </w:r>
    </w:p>
    <w:p>
      <w:pPr>
        <w:numPr>
          <w:ilvl w:val="0"/>
          <w:numId w:val="0"/>
        </w:num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lang w:eastAsia="zh-CN"/>
        </w:rPr>
        <w:t>第</w:t>
      </w:r>
      <w:r>
        <w:rPr>
          <w:rFonts w:hint="eastAsia" w:ascii="宋体" w:hAnsi="宋体" w:eastAsia="宋体" w:cs="宋体"/>
          <w:b/>
          <w:sz w:val="21"/>
          <w:szCs w:val="21"/>
          <w:lang w:val="en-US" w:eastAsia="zh-CN"/>
        </w:rPr>
        <w:t>八</w:t>
      </w:r>
      <w:r>
        <w:rPr>
          <w:rFonts w:hint="eastAsia" w:ascii="宋体" w:hAnsi="宋体" w:eastAsia="宋体" w:cs="宋体"/>
          <w:b/>
          <w:sz w:val="21"/>
          <w:szCs w:val="21"/>
          <w:lang w:eastAsia="zh-CN"/>
        </w:rPr>
        <w:t>条</w:t>
      </w:r>
      <w:r>
        <w:rPr>
          <w:rFonts w:hint="eastAsia" w:ascii="宋体" w:hAnsi="宋体" w:eastAsia="宋体" w:cs="宋体"/>
          <w:b/>
          <w:sz w:val="21"/>
          <w:szCs w:val="21"/>
        </w:rPr>
        <w:t xml:space="preserve">  争议的解决</w:t>
      </w:r>
    </w:p>
    <w:p>
      <w:pPr>
        <w:pStyle w:val="6"/>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1.如因服务的质量问题发生争议，由双方共同委托法定或有资质的质量技术鉴定机构进行质量鉴定。</w:t>
      </w:r>
    </w:p>
    <w:p>
      <w:pPr>
        <w:pStyle w:val="6"/>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2.若执行本合同的过程中发生纠纷，双方当事人应当及时协商解决；协商不成时，双方约定向</w:t>
      </w:r>
      <w:r>
        <w:rPr>
          <w:rFonts w:hint="eastAsia" w:ascii="宋体" w:hAnsi="宋体" w:eastAsia="宋体" w:cs="宋体"/>
          <w:sz w:val="21"/>
          <w:szCs w:val="21"/>
          <w:lang w:val="en-US" w:eastAsia="zh-CN"/>
        </w:rPr>
        <w:t>甲</w:t>
      </w:r>
      <w:r>
        <w:rPr>
          <w:rFonts w:hint="eastAsia" w:ascii="宋体" w:hAnsi="宋体" w:eastAsia="宋体" w:cs="宋体"/>
          <w:sz w:val="21"/>
          <w:szCs w:val="21"/>
        </w:rPr>
        <w:t>方所在地有管辖权的人民法院提起诉讼。违约方应承担守约方律师费、鉴定费、诉讼费</w:t>
      </w:r>
      <w:r>
        <w:rPr>
          <w:rFonts w:hint="eastAsia" w:ascii="宋体" w:hAnsi="宋体" w:eastAsia="宋体" w:cs="宋体"/>
          <w:sz w:val="21"/>
          <w:szCs w:val="21"/>
          <w:lang w:eastAsia="zh-CN"/>
        </w:rPr>
        <w:t>等相关维权费用</w:t>
      </w:r>
      <w:r>
        <w:rPr>
          <w:rFonts w:hint="eastAsia" w:ascii="宋体" w:hAnsi="宋体" w:eastAsia="宋体" w:cs="宋体"/>
          <w:sz w:val="21"/>
          <w:szCs w:val="21"/>
        </w:rPr>
        <w:t>。</w:t>
      </w:r>
    </w:p>
    <w:p>
      <w:pPr>
        <w:numPr>
          <w:ilvl w:val="0"/>
          <w:numId w:val="0"/>
        </w:num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lang w:eastAsia="zh-CN"/>
        </w:rPr>
        <w:t>第</w:t>
      </w:r>
      <w:r>
        <w:rPr>
          <w:rFonts w:hint="eastAsia" w:ascii="宋体" w:hAnsi="宋体" w:eastAsia="宋体" w:cs="宋体"/>
          <w:b/>
          <w:sz w:val="21"/>
          <w:szCs w:val="21"/>
          <w:lang w:val="en-US" w:eastAsia="zh-CN"/>
        </w:rPr>
        <w:t>九</w:t>
      </w:r>
      <w:r>
        <w:rPr>
          <w:rFonts w:hint="eastAsia" w:ascii="宋体" w:hAnsi="宋体" w:eastAsia="宋体" w:cs="宋体"/>
          <w:b/>
          <w:sz w:val="21"/>
          <w:szCs w:val="21"/>
          <w:lang w:eastAsia="zh-CN"/>
        </w:rPr>
        <w:t>条</w:t>
      </w:r>
      <w:r>
        <w:rPr>
          <w:rFonts w:hint="eastAsia" w:ascii="宋体" w:hAnsi="宋体" w:eastAsia="宋体" w:cs="宋体"/>
          <w:b/>
          <w:sz w:val="21"/>
          <w:szCs w:val="21"/>
        </w:rPr>
        <w:t xml:space="preserve">  无效合同</w:t>
      </w:r>
    </w:p>
    <w:p>
      <w:pPr>
        <w:pStyle w:val="6"/>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甲乙双方如因违反法律和有关规定，合同被宣告无效的，有过错的一方应当承担赔偿责任，双方都有过错的，各自承担相应的责任。</w:t>
      </w:r>
    </w:p>
    <w:p>
      <w:pPr>
        <w:numPr>
          <w:ilvl w:val="0"/>
          <w:numId w:val="0"/>
        </w:numPr>
        <w:adjustRightInd w:val="0"/>
        <w:spacing w:line="360" w:lineRule="auto"/>
        <w:ind w:firstLine="422" w:firstLineChars="200"/>
        <w:jc w:val="left"/>
        <w:textAlignment w:val="top"/>
        <w:rPr>
          <w:rFonts w:hint="eastAsia" w:ascii="宋体" w:hAnsi="宋体" w:eastAsia="宋体" w:cs="宋体"/>
          <w:b/>
          <w:sz w:val="21"/>
          <w:szCs w:val="21"/>
        </w:rPr>
      </w:pPr>
      <w:r>
        <w:rPr>
          <w:rFonts w:hint="eastAsia" w:ascii="宋体" w:hAnsi="宋体" w:eastAsia="宋体" w:cs="宋体"/>
          <w:b/>
          <w:sz w:val="21"/>
          <w:szCs w:val="21"/>
          <w:lang w:eastAsia="zh-CN"/>
        </w:rPr>
        <w:t>第</w:t>
      </w:r>
      <w:r>
        <w:rPr>
          <w:rFonts w:hint="eastAsia" w:ascii="宋体" w:hAnsi="宋体" w:eastAsia="宋体" w:cs="宋体"/>
          <w:b/>
          <w:sz w:val="21"/>
          <w:szCs w:val="21"/>
          <w:lang w:val="en-US" w:eastAsia="zh-CN"/>
        </w:rPr>
        <w:t>十</w:t>
      </w:r>
      <w:r>
        <w:rPr>
          <w:rFonts w:hint="eastAsia" w:ascii="宋体" w:hAnsi="宋体" w:eastAsia="宋体" w:cs="宋体"/>
          <w:b/>
          <w:sz w:val="21"/>
          <w:szCs w:val="21"/>
          <w:lang w:eastAsia="zh-CN"/>
        </w:rPr>
        <w:t>条</w:t>
      </w:r>
      <w:r>
        <w:rPr>
          <w:rFonts w:hint="eastAsia" w:ascii="宋体" w:hAnsi="宋体" w:eastAsia="宋体" w:cs="宋体"/>
          <w:b/>
          <w:sz w:val="21"/>
          <w:szCs w:val="21"/>
        </w:rPr>
        <w:t xml:space="preserve">  附则</w:t>
      </w:r>
    </w:p>
    <w:p>
      <w:pPr>
        <w:pStyle w:val="6"/>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rPr>
        <w:t>1.本合同一式</w:t>
      </w:r>
      <w:r>
        <w:rPr>
          <w:rFonts w:hint="eastAsia" w:ascii="宋体" w:hAnsi="宋体" w:eastAsia="宋体" w:cs="宋体"/>
          <w:sz w:val="21"/>
          <w:szCs w:val="21"/>
          <w:u w:val="single"/>
        </w:rPr>
        <w:t>肆</w:t>
      </w:r>
      <w:r>
        <w:rPr>
          <w:rFonts w:hint="eastAsia" w:ascii="宋体" w:hAnsi="宋体" w:eastAsia="宋体" w:cs="宋体"/>
          <w:sz w:val="21"/>
          <w:szCs w:val="21"/>
        </w:rPr>
        <w:t>份，甲方执</w:t>
      </w:r>
      <w:r>
        <w:rPr>
          <w:rFonts w:hint="eastAsia" w:ascii="宋体" w:hAnsi="宋体" w:eastAsia="宋体" w:cs="宋体"/>
          <w:sz w:val="21"/>
          <w:szCs w:val="21"/>
          <w:u w:val="single"/>
        </w:rPr>
        <w:t xml:space="preserve"> 贰 </w:t>
      </w:r>
      <w:r>
        <w:rPr>
          <w:rFonts w:hint="eastAsia" w:ascii="宋体" w:hAnsi="宋体" w:eastAsia="宋体" w:cs="宋体"/>
          <w:sz w:val="21"/>
          <w:szCs w:val="21"/>
        </w:rPr>
        <w:t>份，乙方执</w:t>
      </w:r>
      <w:r>
        <w:rPr>
          <w:rFonts w:hint="eastAsia" w:ascii="宋体" w:hAnsi="宋体" w:eastAsia="宋体" w:cs="宋体"/>
          <w:sz w:val="21"/>
          <w:szCs w:val="21"/>
          <w:u w:val="single"/>
        </w:rPr>
        <w:t xml:space="preserve"> 贰 </w:t>
      </w:r>
      <w:r>
        <w:rPr>
          <w:rFonts w:hint="eastAsia" w:ascii="宋体" w:hAnsi="宋体" w:eastAsia="宋体" w:cs="宋体"/>
          <w:sz w:val="21"/>
          <w:szCs w:val="21"/>
        </w:rPr>
        <w:t>份。</w:t>
      </w:r>
    </w:p>
    <w:p>
      <w:pPr>
        <w:pStyle w:val="6"/>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.本合同自双方签字盖章后生效。</w:t>
      </w:r>
    </w:p>
    <w:p>
      <w:pPr>
        <w:pStyle w:val="6"/>
        <w:spacing w:line="360" w:lineRule="auto"/>
        <w:ind w:left="0" w:firstLine="420" w:firstLineChars="200"/>
        <w:textAlignment w:val="top"/>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以下无正文</w:t>
      </w:r>
      <w:r>
        <w:rPr>
          <w:rFonts w:hint="eastAsia" w:ascii="宋体" w:hAnsi="宋体" w:eastAsia="宋体" w:cs="宋体"/>
          <w:sz w:val="21"/>
          <w:szCs w:val="21"/>
          <w:lang w:eastAsia="zh-CN"/>
        </w:rPr>
        <w:t>）</w:t>
      </w:r>
      <w:r>
        <w:rPr>
          <w:rFonts w:hint="eastAsia" w:ascii="宋体" w:hAnsi="宋体" w:eastAsia="宋体" w:cs="宋体"/>
          <w:sz w:val="21"/>
          <w:szCs w:val="21"/>
        </w:rPr>
        <w:br w:type="page"/>
      </w:r>
    </w:p>
    <w:p>
      <w:pPr>
        <w:widowControl/>
        <w:spacing w:line="360" w:lineRule="auto"/>
        <w:textAlignment w:val="bottom"/>
        <w:rPr>
          <w:rFonts w:hint="eastAsia" w:ascii="宋体" w:hAnsi="宋体" w:eastAsia="宋体" w:cs="宋体"/>
          <w:b/>
          <w:bCs/>
          <w:sz w:val="21"/>
          <w:szCs w:val="21"/>
        </w:rPr>
      </w:pPr>
      <w:r>
        <w:rPr>
          <w:rFonts w:hint="eastAsia" w:ascii="宋体" w:hAnsi="宋体" w:eastAsia="宋体" w:cs="宋体"/>
          <w:b/>
          <w:bCs/>
          <w:sz w:val="21"/>
          <w:szCs w:val="21"/>
        </w:rPr>
        <w:t>（</w:t>
      </w:r>
      <w:r>
        <w:rPr>
          <w:rFonts w:hint="eastAsia" w:ascii="宋体" w:hAnsi="宋体" w:eastAsia="宋体" w:cs="宋体"/>
          <w:b/>
          <w:bCs/>
          <w:sz w:val="21"/>
          <w:szCs w:val="21"/>
          <w:lang w:val="en-US" w:eastAsia="zh-CN"/>
        </w:rPr>
        <w:t>本页为签署页</w:t>
      </w:r>
      <w:r>
        <w:rPr>
          <w:rFonts w:hint="eastAsia" w:ascii="宋体" w:hAnsi="宋体" w:eastAsia="宋体" w:cs="宋体"/>
          <w:b/>
          <w:bCs/>
          <w:sz w:val="21"/>
          <w:szCs w:val="21"/>
        </w:rPr>
        <w:t>）</w:t>
      </w:r>
    </w:p>
    <w:p>
      <w:pPr>
        <w:widowControl/>
        <w:spacing w:line="360" w:lineRule="auto"/>
        <w:rPr>
          <w:rFonts w:hint="eastAsia" w:ascii="宋体" w:hAnsi="宋体" w:eastAsia="宋体" w:cs="宋体"/>
          <w:b/>
          <w:bCs/>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甲方（盖章）：数字江门网络建设有限公司</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法定代表人或授权代表（签名）：</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u w:val="single"/>
        </w:rPr>
      </w:pPr>
      <w:r>
        <w:rPr>
          <w:rFonts w:hint="eastAsia" w:ascii="宋体" w:hAnsi="宋体" w:eastAsia="宋体" w:cs="宋体"/>
          <w:sz w:val="21"/>
          <w:szCs w:val="21"/>
        </w:rPr>
        <w:t>日期： 年  月   日</w:t>
      </w:r>
    </w:p>
    <w:p>
      <w:pPr>
        <w:spacing w:line="360" w:lineRule="auto"/>
        <w:ind w:firstLine="420" w:firstLineChars="200"/>
        <w:rPr>
          <w:rFonts w:hint="eastAsia" w:ascii="宋体" w:hAnsi="宋体" w:eastAsia="宋体" w:cs="宋体"/>
          <w:sz w:val="21"/>
          <w:szCs w:val="21"/>
        </w:rPr>
      </w:pPr>
    </w:p>
    <w:p>
      <w:pPr>
        <w:spacing w:line="360" w:lineRule="auto"/>
        <w:ind w:firstLine="420" w:firstLineChars="200"/>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乙方（盖章）：</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r>
        <w:rPr>
          <w:rFonts w:hint="eastAsia" w:ascii="宋体" w:hAnsi="宋体" w:eastAsia="宋体" w:cs="宋体"/>
          <w:sz w:val="21"/>
          <w:szCs w:val="21"/>
        </w:rPr>
        <w:t>法定代表人或授权代表（签名）：</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u w:val="single"/>
        </w:rPr>
      </w:pPr>
      <w:r>
        <w:rPr>
          <w:rFonts w:hint="eastAsia" w:ascii="宋体" w:hAnsi="宋体" w:eastAsia="宋体" w:cs="宋体"/>
          <w:sz w:val="21"/>
          <w:szCs w:val="21"/>
        </w:rPr>
        <w:t>日期： 年  月  日</w:t>
      </w:r>
    </w:p>
    <w:p>
      <w:pPr>
        <w:widowControl/>
        <w:spacing w:line="360" w:lineRule="auto"/>
        <w:textAlignment w:val="bottom"/>
        <w:rPr>
          <w:rFonts w:hint="eastAsia" w:ascii="宋体" w:hAnsi="宋体" w:eastAsia="宋体" w:cs="宋体"/>
          <w:sz w:val="21"/>
          <w:szCs w:val="21"/>
        </w:rPr>
      </w:pP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合同签订及履行地点：广东省江门市蓬江</w:t>
      </w:r>
      <w:r>
        <w:rPr>
          <w:rFonts w:hint="eastAsia" w:ascii="宋体" w:hAnsi="宋体" w:eastAsia="宋体" w:cs="宋体"/>
          <w:sz w:val="21"/>
          <w:szCs w:val="21"/>
          <w:lang w:eastAsia="zh-CN"/>
        </w:rPr>
        <w:t>区</w:t>
      </w:r>
    </w:p>
    <w:p>
      <w:pPr>
        <w:pStyle w:val="2"/>
        <w:rPr>
          <w:rFonts w:hint="eastAsia"/>
        </w:rPr>
      </w:pPr>
    </w:p>
    <w:p>
      <w:pPr>
        <w:ind w:firstLine="482" w:firstLineChars="200"/>
        <w:rPr>
          <w:rFonts w:hint="eastAsia" w:ascii="宋体" w:hAnsi="宋体" w:eastAsia="宋体" w:cs="宋体"/>
          <w:color w:val="auto"/>
          <w:sz w:val="28"/>
          <w:szCs w:val="28"/>
          <w:highlight w:val="none"/>
        </w:rPr>
      </w:pPr>
      <w:r>
        <w:rPr>
          <w:rFonts w:hint="eastAsia" w:ascii="宋体" w:hAnsi="宋体" w:eastAsia="宋体" w:cs="宋体"/>
          <w:b/>
          <w:bCs/>
          <w:sz w:val="24"/>
          <w:szCs w:val="24"/>
          <w:highlight w:val="none"/>
        </w:rPr>
        <w:t>注：本合同样本仅供形式上的参考，具体条款内容由采购人和成交供应商协商确定。</w:t>
      </w:r>
    </w:p>
    <w:p>
      <w:pPr>
        <w:pStyle w:val="2"/>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PMingLiU">
    <w:altName w:val="PMingLiU-ExtB"/>
    <w:panose1 w:val="02020300000000000000"/>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posOffset>4180840</wp:posOffset>
              </wp:positionH>
              <wp:positionV relativeFrom="paragraph">
                <wp:posOffset>-113665</wp:posOffset>
              </wp:positionV>
              <wp:extent cx="1093470" cy="2679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93470" cy="26797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29.2pt;margin-top:-8.95pt;height:21.1pt;width:86.1pt;mso-position-horizontal-relative:margin;z-index:251659264;mso-width-relative:page;mso-height-relative:page;" filled="f" stroked="f" coordsize="21600,21600" o:gfxdata="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SNDTxNkAAAAKAQAADwAAAAAAAAABACAAAAAiAAAAZHJzL2Rvd25y&#10;ZXYueG1sUEsBAhQAFAAAAAgAh07iQEGgQonhAgAAJQYAAA4AAAAAAAAAAQAgAAAAKAEAAGRycy9l&#10;Mm9Eb2MueG1sUEsFBgAAAAAGAAYAWQEAAHsGAAAAAA==&#10;">
              <v:fill on="f" focussize="0,0"/>
              <v:stroke on="f" weight="0.5pt"/>
              <v:imagedata o:title=""/>
              <o:lock v:ext="edit" aspectratio="f"/>
              <v:textbox inset="0mm,0mm,0mm,0mm">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3Zjg4MGQ5Y2E4NmIwOTY5OTc0Y2M5NTQ0YTU1OTEifQ=="/>
    <w:docVar w:name="KSO_WPS_MARK_KEY" w:val="5b5c807b-d886-4edc-8491-fe2212cb1810"/>
  </w:docVars>
  <w:rsids>
    <w:rsidRoot w:val="74531B0F"/>
    <w:rsid w:val="05BB7170"/>
    <w:rsid w:val="068B011B"/>
    <w:rsid w:val="07C30C69"/>
    <w:rsid w:val="088210AA"/>
    <w:rsid w:val="08B52BC0"/>
    <w:rsid w:val="09CB06B6"/>
    <w:rsid w:val="0ADE59D1"/>
    <w:rsid w:val="0B9C5CC1"/>
    <w:rsid w:val="0F8F6A2A"/>
    <w:rsid w:val="13C227D1"/>
    <w:rsid w:val="140B109F"/>
    <w:rsid w:val="177D200A"/>
    <w:rsid w:val="191C2E55"/>
    <w:rsid w:val="1E85324A"/>
    <w:rsid w:val="23C91DC7"/>
    <w:rsid w:val="240510B5"/>
    <w:rsid w:val="24A87C93"/>
    <w:rsid w:val="251B46E0"/>
    <w:rsid w:val="29DE5A0A"/>
    <w:rsid w:val="2AF23A16"/>
    <w:rsid w:val="2B6D4066"/>
    <w:rsid w:val="2F7075FF"/>
    <w:rsid w:val="2FD30669"/>
    <w:rsid w:val="301601A6"/>
    <w:rsid w:val="32E254BD"/>
    <w:rsid w:val="35541F21"/>
    <w:rsid w:val="35FF4995"/>
    <w:rsid w:val="37651747"/>
    <w:rsid w:val="385A37FE"/>
    <w:rsid w:val="412F06F1"/>
    <w:rsid w:val="42F54B3D"/>
    <w:rsid w:val="42F8478B"/>
    <w:rsid w:val="430400AA"/>
    <w:rsid w:val="480212E4"/>
    <w:rsid w:val="48C06765"/>
    <w:rsid w:val="4B5A1285"/>
    <w:rsid w:val="4E006AFF"/>
    <w:rsid w:val="509946DA"/>
    <w:rsid w:val="5458744B"/>
    <w:rsid w:val="56C66CC8"/>
    <w:rsid w:val="5AD76600"/>
    <w:rsid w:val="5B357F7A"/>
    <w:rsid w:val="5D144D82"/>
    <w:rsid w:val="66C03272"/>
    <w:rsid w:val="69B90F75"/>
    <w:rsid w:val="6BBA05BE"/>
    <w:rsid w:val="6C81461E"/>
    <w:rsid w:val="6FD95580"/>
    <w:rsid w:val="70455963"/>
    <w:rsid w:val="744F4027"/>
    <w:rsid w:val="74531B0F"/>
    <w:rsid w:val="74F57048"/>
    <w:rsid w:val="756A4B47"/>
    <w:rsid w:val="76F679B7"/>
    <w:rsid w:val="7A602571"/>
    <w:rsid w:val="7BB71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5">
    <w:name w:val="Normal Indent"/>
    <w:basedOn w:val="1"/>
    <w:qFormat/>
    <w:uiPriority w:val="0"/>
    <w:pPr>
      <w:ind w:firstLine="420" w:firstLineChars="200"/>
    </w:pPr>
  </w:style>
  <w:style w:type="paragraph" w:styleId="6">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7">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9">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table" w:styleId="11">
    <w:name w:val="Table Grid"/>
    <w:basedOn w:val="10"/>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unhideWhenUsed/>
    <w:qFormat/>
    <w:uiPriority w:val="34"/>
    <w:pPr>
      <w:ind w:firstLine="420" w:firstLineChars="200"/>
    </w:pPr>
    <w:rPr>
      <w:rFonts w:eastAsia="宋体"/>
      <w:szCs w:val="24"/>
    </w:rPr>
  </w:style>
  <w:style w:type="paragraph" w:customStyle="1" w:styleId="14">
    <w:name w:val="_Style 97"/>
    <w:basedOn w:val="1"/>
    <w:next w:val="13"/>
    <w:qFormat/>
    <w:uiPriority w:val="0"/>
    <w:pPr>
      <w:ind w:firstLine="420" w:firstLineChars="200"/>
    </w:pPr>
  </w:style>
  <w:style w:type="paragraph" w:customStyle="1" w:styleId="1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
    <w:name w:val="列表段落1"/>
    <w:basedOn w:val="1"/>
    <w:unhideWhenUsed/>
    <w:qFormat/>
    <w:uiPriority w:val="34"/>
    <w:pPr>
      <w:ind w:firstLine="420" w:firstLineChars="200"/>
    </w:pPr>
    <w:rPr>
      <w:rFonts w:eastAsia="宋体"/>
    </w:rPr>
  </w:style>
  <w:style w:type="paragraph" w:customStyle="1" w:styleId="17">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8">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9">
    <w:name w:val="unnamed11"/>
    <w:qFormat/>
    <w:uiPriority w:val="0"/>
    <w:rPr>
      <w:sz w:val="18"/>
      <w:szCs w:val="18"/>
    </w:rPr>
  </w:style>
  <w:style w:type="paragraph" w:customStyle="1" w:styleId="20">
    <w:name w:val="正文（深信服科技）"/>
    <w:qFormat/>
    <w:uiPriority w:val="0"/>
    <w:pPr>
      <w:adjustRightInd w:val="0"/>
      <w:snapToGrid w:val="0"/>
      <w:spacing w:line="360" w:lineRule="auto"/>
      <w:ind w:firstLine="480" w:firstLineChars="200"/>
    </w:pPr>
    <w:rPr>
      <w:rFonts w:ascii="Times New Roman" w:hAnsi="Times New Roman" w:eastAsia="宋体" w:cs="Times New Roman"/>
      <w:sz w:val="24"/>
      <w:szCs w:val="24"/>
      <w:lang w:val="en-US" w:eastAsia="zh-CN" w:bidi="ar-SA"/>
    </w:rPr>
  </w:style>
  <w:style w:type="paragraph" w:customStyle="1" w:styleId="21">
    <w:name w:val="方案正文"/>
    <w:basedOn w:val="1"/>
    <w:qFormat/>
    <w:uiPriority w:val="0"/>
    <w:pPr>
      <w:widowControl/>
      <w:adjustRightInd w:val="0"/>
      <w:snapToGrid w:val="0"/>
      <w:spacing w:line="360" w:lineRule="auto"/>
      <w:ind w:firstLine="480" w:firstLineChars="200"/>
      <w:jc w:val="left"/>
    </w:pPr>
    <w:rPr>
      <w:rFonts w:ascii="Times New Roman" w:hAnsi="Times New Roman" w:cs="宋体"/>
      <w:color w:val="000000"/>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5704</Words>
  <Characters>5896</Characters>
  <Lines>0</Lines>
  <Paragraphs>0</Paragraphs>
  <TotalTime>2</TotalTime>
  <ScaleCrop>false</ScaleCrop>
  <LinksUpToDate>false</LinksUpToDate>
  <CharactersWithSpaces>6222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LIN</cp:lastModifiedBy>
  <dcterms:modified xsi:type="dcterms:W3CDTF">2024-01-15T01:23:11Z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83A5D0F788CA4BA8A968E511DEB9F141</vt:lpwstr>
  </property>
</Properties>
</file>