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银洲湖高速公路有限公司OA系统维护2024年度项目</w:t>
      </w:r>
    </w:p>
    <w:p>
      <w:pPr>
        <w:jc w:val="center"/>
        <w:rPr>
          <w:rFonts w:hint="default"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4"/>
        <w:spacing w:line="360" w:lineRule="auto"/>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kern w:val="0"/>
          <w:sz w:val="28"/>
          <w:szCs w:val="28"/>
          <w:lang w:val="en-US" w:eastAsia="zh-CN" w:bidi="ar-SA"/>
        </w:rPr>
        <w:t>银洲湖高速公路有限公司OA系统目前在稳定运行中，并助力于提升单位工作人员的办事效率。为了更好地保障银洲湖高速公路有限公司OA系统安全、稳定地运行，进一步提升用户体验和提高系统运行效率，须对银洲湖高速公路有限公司OA系统进行维护服务。</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tbl>
      <w:tblPr>
        <w:tblStyle w:val="10"/>
        <w:tblW w:w="8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6365"/>
        <w:gridCol w:w="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2" w:type="dxa"/>
            <w:noWrap w:val="0"/>
            <w:vAlign w:val="top"/>
          </w:tcPr>
          <w:p>
            <w:pPr>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功能模版</w:t>
            </w:r>
          </w:p>
        </w:tc>
        <w:tc>
          <w:tcPr>
            <w:tcW w:w="6365" w:type="dxa"/>
            <w:noWrap w:val="0"/>
            <w:vAlign w:val="top"/>
          </w:tcPr>
          <w:p>
            <w:pPr>
              <w:spacing w:line="360" w:lineRule="auto"/>
              <w:ind w:firstLine="482"/>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详细描述</w:t>
            </w:r>
          </w:p>
        </w:tc>
        <w:tc>
          <w:tcPr>
            <w:tcW w:w="964" w:type="dxa"/>
            <w:noWrap w:val="0"/>
            <w:vAlign w:val="top"/>
          </w:tcPr>
          <w:p>
            <w:pPr>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1622" w:type="dxa"/>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系统维护服务</w:t>
            </w:r>
          </w:p>
        </w:tc>
        <w:tc>
          <w:tcPr>
            <w:tcW w:w="6365" w:type="dxa"/>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包括日常管理维护和因功能需求变更产生的软件修改和应用软件升级。以保证系统的稳定运</w:t>
            </w:r>
            <w:r>
              <w:rPr>
                <w:rFonts w:hint="eastAsia" w:ascii="宋体" w:hAnsi="宋体" w:eastAsia="宋体" w:cs="宋体"/>
                <w:color w:val="auto"/>
                <w:kern w:val="0"/>
                <w:sz w:val="21"/>
                <w:szCs w:val="21"/>
                <w:lang w:val="en-US" w:eastAsia="zh-CN" w:bidi="ar-SA"/>
              </w:rPr>
              <w:t>银洲湖高速公路有限公司OA系统目前在稳定运行中，并助力于提升单位工作人员的办事效率。为了更好地保障银洲湖高速公路有限公司OA系统安全、稳定地运行，进一步提升用户体验和提高系统运行效率，须对银洲湖高速公路有限公司OA系统进行维护服务。</w:t>
            </w:r>
            <w:r>
              <w:rPr>
                <w:rFonts w:hint="eastAsia" w:ascii="宋体" w:hAnsi="宋体" w:eastAsia="宋体" w:cs="宋体"/>
                <w:color w:val="auto"/>
                <w:sz w:val="21"/>
                <w:szCs w:val="21"/>
              </w:rPr>
              <w:t>行和适应新业务的开展。</w:t>
            </w:r>
          </w:p>
        </w:tc>
        <w:tc>
          <w:tcPr>
            <w:tcW w:w="964" w:type="dxa"/>
            <w:vMerge w:val="restart"/>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维护期：</w:t>
            </w:r>
            <w:r>
              <w:rPr>
                <w:rFonts w:hint="eastAsia" w:ascii="宋体" w:hAnsi="宋体" w:eastAsia="宋体" w:cs="宋体"/>
                <w:color w:val="auto"/>
                <w:kern w:val="2"/>
                <w:sz w:val="21"/>
                <w:szCs w:val="21"/>
                <w:highlight w:val="none"/>
                <w:lang w:val="en-US" w:eastAsia="zh-CN" w:bidi="ar-SA"/>
              </w:rPr>
              <w:t>合同签订生效之日起至</w:t>
            </w:r>
            <w:r>
              <w:rPr>
                <w:rFonts w:hint="eastAsia" w:ascii="宋体" w:hAnsi="宋体" w:eastAsia="宋体" w:cs="宋体"/>
                <w:color w:val="auto"/>
                <w:kern w:val="0"/>
                <w:sz w:val="21"/>
                <w:szCs w:val="21"/>
                <w:lang w:val="en-US" w:eastAsia="zh-CN" w:bidi="ar-SA"/>
              </w:rPr>
              <w:t>2024年7月15日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622" w:type="dxa"/>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收发文流程以及事务流程维护</w:t>
            </w:r>
          </w:p>
        </w:tc>
        <w:tc>
          <w:tcPr>
            <w:tcW w:w="6365" w:type="dxa"/>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根据公司实际使用需求，配置流程以及流程审批表单。</w:t>
            </w:r>
          </w:p>
        </w:tc>
        <w:tc>
          <w:tcPr>
            <w:tcW w:w="964" w:type="dxa"/>
            <w:vMerge w:val="continue"/>
            <w:noWrap w:val="0"/>
            <w:vAlign w:val="center"/>
          </w:tcPr>
          <w:p>
            <w:pPr>
              <w:spacing w:line="360" w:lineRule="auto"/>
              <w:ind w:firstLine="174" w:firstLineChars="83"/>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622" w:type="dxa"/>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重大节日</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活动巡检</w:t>
            </w:r>
            <w:r>
              <w:rPr>
                <w:rFonts w:hint="eastAsia" w:ascii="宋体" w:hAnsi="宋体" w:eastAsia="宋体" w:cs="宋体"/>
                <w:color w:val="auto"/>
                <w:sz w:val="21"/>
                <w:szCs w:val="21"/>
                <w:lang w:val="en-US" w:eastAsia="zh-CN"/>
              </w:rPr>
              <w:t>以及值守</w:t>
            </w:r>
          </w:p>
        </w:tc>
        <w:tc>
          <w:tcPr>
            <w:tcW w:w="6365" w:type="dxa"/>
            <w:noWrap w:val="0"/>
            <w:vAlign w:val="center"/>
          </w:tcPr>
          <w:p>
            <w:pPr>
              <w:spacing w:line="360" w:lineRule="auto"/>
              <w:jc w:val="left"/>
              <w:rPr>
                <w:rFonts w:hint="eastAsia" w:ascii="宋体" w:hAnsi="宋体" w:eastAsia="宋体" w:cs="宋体"/>
                <w:color w:val="auto"/>
                <w:sz w:val="21"/>
                <w:szCs w:val="21"/>
                <w:lang w:val="en-US"/>
              </w:rPr>
            </w:pPr>
            <w:r>
              <w:rPr>
                <w:rFonts w:hint="eastAsia" w:ascii="宋体" w:hAnsi="宋体" w:eastAsia="宋体" w:cs="宋体"/>
                <w:color w:val="auto"/>
                <w:sz w:val="21"/>
                <w:szCs w:val="21"/>
              </w:rPr>
              <w:t>在重大节假日以及相关大型活动前，系统运维公司需要对系统进行</w:t>
            </w:r>
            <w:r>
              <w:rPr>
                <w:rFonts w:hint="eastAsia" w:ascii="宋体" w:hAnsi="宋体" w:eastAsia="宋体" w:cs="宋体"/>
                <w:color w:val="auto"/>
                <w:sz w:val="21"/>
                <w:szCs w:val="21"/>
                <w:lang w:val="en-US" w:eastAsia="zh-CN"/>
              </w:rPr>
              <w:t>网络安全防护、系统漏洞扫描、系统性能监控、应急预案制定以及安排人员值班。</w:t>
            </w:r>
          </w:p>
        </w:tc>
        <w:tc>
          <w:tcPr>
            <w:tcW w:w="964" w:type="dxa"/>
            <w:vMerge w:val="continue"/>
            <w:noWrap w:val="0"/>
            <w:vAlign w:val="center"/>
          </w:tcPr>
          <w:p>
            <w:pPr>
              <w:spacing w:line="360" w:lineRule="auto"/>
              <w:ind w:firstLine="174" w:firstLineChars="83"/>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1622" w:type="dxa"/>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性能维护</w:t>
            </w:r>
          </w:p>
        </w:tc>
        <w:tc>
          <w:tcPr>
            <w:tcW w:w="6365" w:type="dxa"/>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分析获取的系统性能数据，包括各数据库表情况，并提出建设性的建议。</w:t>
            </w:r>
          </w:p>
        </w:tc>
        <w:tc>
          <w:tcPr>
            <w:tcW w:w="964" w:type="dxa"/>
            <w:vMerge w:val="continue"/>
            <w:noWrap w:val="0"/>
            <w:vAlign w:val="center"/>
          </w:tcPr>
          <w:p>
            <w:pPr>
              <w:spacing w:line="360" w:lineRule="auto"/>
              <w:ind w:firstLine="480"/>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2" w:type="dxa"/>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数据表维护</w:t>
            </w:r>
          </w:p>
        </w:tc>
        <w:tc>
          <w:tcPr>
            <w:tcW w:w="6365" w:type="dxa"/>
            <w:noWrap w:val="0"/>
            <w:vAlign w:val="center"/>
          </w:tcPr>
          <w:p>
            <w:pPr>
              <w:spacing w:line="360" w:lineRule="auto"/>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业务处理对数据的需求是不断发生变化的，除了系统中主体业务数据的定期正常更新外，还有许多数据需要进行不定期的更新，或随环境或业务的变化而进行调整，以及数据内容的增加、数据结构的调整。此外，数据的备份与恢复等，都是数据维护的工作内容</w:t>
            </w:r>
            <w:r>
              <w:rPr>
                <w:rFonts w:hint="eastAsia" w:ascii="宋体" w:hAnsi="宋体" w:eastAsia="宋体" w:cs="宋体"/>
                <w:color w:val="auto"/>
                <w:sz w:val="21"/>
                <w:szCs w:val="21"/>
                <w:lang w:eastAsia="zh-CN"/>
              </w:rPr>
              <w:t>。</w:t>
            </w:r>
          </w:p>
        </w:tc>
        <w:tc>
          <w:tcPr>
            <w:tcW w:w="964" w:type="dxa"/>
            <w:vMerge w:val="continue"/>
            <w:noWrap w:val="0"/>
            <w:vAlign w:val="center"/>
          </w:tcPr>
          <w:p>
            <w:pPr>
              <w:spacing w:line="360" w:lineRule="auto"/>
              <w:ind w:firstLine="480"/>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2" w:type="dxa"/>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系统巡检</w:t>
            </w:r>
          </w:p>
        </w:tc>
        <w:tc>
          <w:tcPr>
            <w:tcW w:w="6365" w:type="dxa"/>
            <w:noWrap w:val="0"/>
            <w:vAlign w:val="center"/>
          </w:tcPr>
          <w:p>
            <w:pPr>
              <w:spacing w:line="360" w:lineRule="auto"/>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在维护期内，每月进行一次检查</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确保系统运行正常</w:t>
            </w:r>
            <w:r>
              <w:rPr>
                <w:rFonts w:hint="eastAsia" w:ascii="宋体" w:hAnsi="宋体" w:eastAsia="宋体" w:cs="宋体"/>
                <w:color w:val="auto"/>
                <w:sz w:val="21"/>
                <w:szCs w:val="21"/>
              </w:rPr>
              <w:t>。每季度进行一次检查，每季度出一次检查报告，具体内容包括检查硬盘空间（特别是C盘空间是否充足）、网速如何、杀毒软件更新情况、备份文件是否正常，检查程序目录是否正常，检查数据库基本数据是否正常；详细记录下现在服务器运转的状态等情况</w:t>
            </w:r>
            <w:r>
              <w:rPr>
                <w:rFonts w:hint="eastAsia" w:ascii="宋体" w:hAnsi="宋体" w:eastAsia="宋体" w:cs="宋体"/>
                <w:color w:val="auto"/>
                <w:sz w:val="21"/>
                <w:szCs w:val="21"/>
                <w:lang w:eastAsia="zh-CN"/>
              </w:rPr>
              <w:t>。</w:t>
            </w:r>
          </w:p>
        </w:tc>
        <w:tc>
          <w:tcPr>
            <w:tcW w:w="964" w:type="dxa"/>
            <w:vMerge w:val="continue"/>
            <w:noWrap w:val="0"/>
            <w:vAlign w:val="center"/>
          </w:tcPr>
          <w:p>
            <w:pPr>
              <w:spacing w:line="360" w:lineRule="auto"/>
              <w:ind w:firstLine="480"/>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2" w:type="dxa"/>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组织架构调整以及用户数增加</w:t>
            </w:r>
          </w:p>
        </w:tc>
        <w:tc>
          <w:tcPr>
            <w:tcW w:w="6365" w:type="dxa"/>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对于最终用户需要组织架构调整的，需进行配合调整以及修改，同时按最终用户要求增加想关系统用户数。</w:t>
            </w:r>
          </w:p>
        </w:tc>
        <w:tc>
          <w:tcPr>
            <w:tcW w:w="964" w:type="dxa"/>
            <w:vMerge w:val="continue"/>
            <w:noWrap w:val="0"/>
            <w:vAlign w:val="center"/>
          </w:tcPr>
          <w:p>
            <w:pPr>
              <w:spacing w:line="360" w:lineRule="auto"/>
              <w:ind w:firstLine="480"/>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1622" w:type="dxa"/>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提供7×</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的服务（每周7天，每天12小时）</w:t>
            </w:r>
          </w:p>
        </w:tc>
        <w:tc>
          <w:tcPr>
            <w:tcW w:w="6365" w:type="dxa"/>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对影响系统正常工作、造成业务工作停业的严重故障，在接到重大故障通知后30分钟内响应，24小时内修复（如不能排除，将采用备用方案使系统能够使用），对于一般故障，在4小时内修复。</w:t>
            </w:r>
          </w:p>
          <w:p>
            <w:pPr>
              <w:pStyle w:val="2"/>
              <w:spacing w:line="360" w:lineRule="auto"/>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kern w:val="2"/>
                <w:sz w:val="21"/>
                <w:szCs w:val="21"/>
                <w:lang w:val="en-US" w:eastAsia="zh-CN" w:bidi="ar-SA"/>
              </w:rPr>
              <w:t>提供上门服务，对于采购人要求提供上门进行系统处理服务的，需要在2小时内安排工程师进行上门服务。</w:t>
            </w:r>
          </w:p>
        </w:tc>
        <w:tc>
          <w:tcPr>
            <w:tcW w:w="964" w:type="dxa"/>
            <w:vMerge w:val="continue"/>
            <w:noWrap w:val="0"/>
            <w:vAlign w:val="center"/>
          </w:tcPr>
          <w:p>
            <w:pPr>
              <w:spacing w:line="360" w:lineRule="auto"/>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1622" w:type="dxa"/>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云主机</w:t>
            </w:r>
          </w:p>
        </w:tc>
        <w:tc>
          <w:tcPr>
            <w:tcW w:w="6365" w:type="dxa"/>
            <w:noWrap w:val="0"/>
            <w:vAlign w:val="center"/>
          </w:tcPr>
          <w:p>
            <w:pPr>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云主机配置：CPU：4核；内存：8G；系统盘：40G；数据盘：500G SAS</w:t>
            </w:r>
          </w:p>
          <w:p>
            <w:pPr>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宽带：2Mbs共享宽带；安全：防火墙；操作系统：windows操作系统。</w:t>
            </w:r>
          </w:p>
          <w:p>
            <w:pPr>
              <w:spacing w:line="360" w:lineRule="auto"/>
              <w:jc w:val="left"/>
              <w:rPr>
                <w:rFonts w:hint="eastAsia"/>
                <w:lang w:val="en-US" w:eastAsia="zh-CN"/>
              </w:rPr>
            </w:pPr>
            <w:r>
              <w:rPr>
                <w:rFonts w:hint="eastAsia" w:ascii="宋体" w:hAnsi="宋体" w:eastAsia="宋体" w:cs="宋体"/>
                <w:color w:val="auto"/>
                <w:kern w:val="2"/>
                <w:sz w:val="21"/>
                <w:szCs w:val="21"/>
                <w:lang w:val="en-US" w:eastAsia="zh-CN" w:bidi="ar-SA"/>
              </w:rPr>
              <w:t>云主机续费确保在项目维护期(合同签订之日起至 2024 年7月15日)内正常使用。</w:t>
            </w:r>
          </w:p>
        </w:tc>
        <w:tc>
          <w:tcPr>
            <w:tcW w:w="964" w:type="dxa"/>
            <w:noWrap w:val="0"/>
            <w:vAlign w:val="center"/>
          </w:tcPr>
          <w:p>
            <w:pPr>
              <w:spacing w:line="360" w:lineRule="auto"/>
              <w:jc w:val="left"/>
              <w:rPr>
                <w:rFonts w:hint="eastAsia" w:ascii="宋体" w:hAnsi="宋体" w:eastAsia="宋体" w:cs="宋体"/>
                <w:color w:val="auto"/>
                <w:sz w:val="21"/>
                <w:szCs w:val="21"/>
                <w:lang w:val="en-US" w:eastAsia="zh-CN"/>
              </w:rPr>
            </w:pPr>
          </w:p>
        </w:tc>
      </w:tr>
    </w:tbl>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合同签订生效之日起至2024年7月15日。</w:t>
      </w:r>
    </w:p>
    <w:p>
      <w:pPr>
        <w:numPr>
          <w:ilvl w:val="0"/>
          <w:numId w:val="1"/>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项目要求</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本次的维保服务范围包含OA办公系统、数据库、服务器和数据备份等业务的应用优化、巡检和故障排查及处理、应急协助和相关技术服务等软硬件的运行状况开展专业的维护服务，具体的维保服务包括：</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（一）OA办公系统巡检</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1.OA办公系统版本信息：程序安装路径、数据库文件路径、WEB端程序版本、客户端服务器版本、客户端版本、安卓客户端版本和iPhone客户端版本等信息登记，并提供相关信息登记表；</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2.控件支持：提供OA控件包、IE设置控件包、office控件包及后续更新；</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3.系统维护：提供软件故障排除、软件系统升级、优化、软件测试、软件故障处理等工作。</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（二）服务器巡检</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1.服务器基本信息：操作系统版本信息，内外网IP地址信息，数据库类型及版本信息，IIS、AppServer、IMServer及OA办公系统版本信息，并提供相关信息登记表；</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2.服务器运行状况：CPU处理器的使用率平均值、物理内存大小占用率和各磁盘空间大小使用情况是否在正常范围内；</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3.系统安全：开机启动项是否符合要求（AxSms短信平台、手机端服务器、短信接口、AppServer、CEB转换程序）、系统事件无严重错误、杀毒软件和防护墙是否正常运行、系统病毒检测结构是否正常、设定定时自动锁定服务器等，并提供相关信息登记表（包括数据值、参考值和结论）；</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4.处理服务器的关键漏洞补丁的修复及调试，并提供相关修复报告。</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（三）应用程序运行巡检</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1.网页端、客户端、手机客户端及其他OA相关服务程序运行是否正常，并提供相关信息登记表（包括数据值、参考值和结论）；</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IIS各站点能正常访问无报错，每月运行IIS日志文件删除软件，进行日志文件的清理；AppServer界面信息正常、客户端能正常登陆；IMServer显示在线连接的用户名和时间；短信平台界面无报错，能正常发送短信，平台能显示发送情况；CEB转CEBX程序文件转换服务器能正常转换文件，界面无报错，手写批注正常；同步程序能正常同步机构、部门、用户，无报错；ClearFiles软件定期删除，或者手动定期删除Tempfiles里的缓存文件；远程控制软件是否正常，需要关闭远程桌面，如特殊情况要开启，必须修改远程桌面端口。</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（四）数据库备份</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1.数据库备份方式：采用完整备份，并做好数据库最后一次备份时间的登记；</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2.数据库备份空间：确保数据库备份所在的磁盘容量是否有足够的空间；</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3.数据库备份计划：提供数据库每天全库备份并校对，保留最近10天的备份，保障数据的安全；</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4.处理数据库的关键漏洞补丁的修复及调试，并提供相关修复报告。</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以上各项服务提供相关信息登记表（包括数据值、参考值和结论）、故障处理工单，并输出季度《项目运维巡检结果报告》和《项目运维服务年报》。</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（五）响应时间：提供7×12的服务（每周7天，每天12小时）。</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（六）维护服务方式</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1.远程维护：远程维护工程师通过远程拨号，登录到需求方当地进行的维护。</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2.外派人员到现场：派技术人员到需求方当地解决技术问题。</w:t>
      </w:r>
    </w:p>
    <w:p>
      <w:pPr>
        <w:numPr>
          <w:ilvl w:val="0"/>
          <w:numId w:val="0"/>
        </w:numPr>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五、考核要求</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（一）中选（成交）供应商须向最终用户提供不少于4次的OA系统巡检，并通过出具书面（电子）报告及客户意见调查的形式反馈实施情况及服务评价。</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（二）报告内容要求包括但不限于以下几项</w:t>
      </w:r>
    </w:p>
    <w:p>
      <w:pPr>
        <w:ind w:firstLine="560" w:firstLineChars="200"/>
        <w:rPr>
          <w:rFonts w:hint="default"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1.巡检结果；</w:t>
      </w:r>
    </w:p>
    <w:p>
      <w:pPr>
        <w:ind w:firstLine="560" w:firstLineChars="200"/>
        <w:rPr>
          <w:rFonts w:hint="default"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2.服务器相关信息（包括但不限于操作系统信息、网络连接信息、系统资源信息、内存使用降序信息、系统事件信息、硬件空间、数据库备份文件存放地址及其文件、数据库版本、数据库安装位置、IIS 结构、IIS 安装路径、杀毒软件、开启 window 防火墙信息）；</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3.OA系统服务器端相关信息（包括但不限于服务器端基本信息、升级设置-数据库情况、升级设置-客户端情况、安装目录信息、启动项信息）；</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4.OA系统客户端信息（包括但不限于客户端版本信息、登陆界面信息、登陆后界面信息）；</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5.WEB端信息（包括但不限于WEB 程序版本信息、登陆界面信息、下载列表信息、桌面信息、功能菜单信息、系统设置信息、收文流程设置信息、发文流程设置信息、机构部门信息、用户管理信息）；</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6.移动端相关信息（包括但不限于IMSERVER 运行情况、安装目录信息）；</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7.定期删除 IIS 日志任务计划情况；</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8.数据库异机备份情况。</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（三）客户意见调查要求包括但不限于以下几项：</w:t>
      </w:r>
    </w:p>
    <w:p>
      <w:pPr>
        <w:ind w:firstLine="560" w:firstLineChars="200"/>
        <w:rPr>
          <w:rFonts w:hint="eastAsia" w:ascii="仿宋" w:hAnsi="仿宋" w:eastAsia="仿宋" w:cs="仿宋"/>
          <w:kern w:val="0"/>
          <w:sz w:val="28"/>
          <w:szCs w:val="28"/>
          <w:lang w:val="zh-CN" w:eastAsia="zh-CN" w:bidi="ar-SA"/>
        </w:rPr>
      </w:pPr>
      <w:r>
        <w:rPr>
          <w:rFonts w:hint="eastAsia" w:ascii="仿宋" w:hAnsi="仿宋" w:eastAsia="仿宋" w:cs="仿宋"/>
          <w:kern w:val="0"/>
          <w:sz w:val="28"/>
          <w:szCs w:val="28"/>
          <w:lang w:val="en-US" w:eastAsia="zh-CN" w:bidi="ar-SA"/>
        </w:rPr>
        <w:t>1.</w:t>
      </w:r>
      <w:r>
        <w:rPr>
          <w:rFonts w:hint="eastAsia" w:ascii="仿宋" w:hAnsi="仿宋" w:eastAsia="仿宋" w:cs="仿宋"/>
          <w:kern w:val="0"/>
          <w:sz w:val="28"/>
          <w:szCs w:val="28"/>
          <w:lang w:val="zh-CN" w:eastAsia="zh-CN" w:bidi="ar-SA"/>
        </w:rPr>
        <w:t>巡检人员的意见和建议</w:t>
      </w:r>
      <w:r>
        <w:rPr>
          <w:rFonts w:hint="eastAsia" w:ascii="仿宋" w:hAnsi="仿宋" w:eastAsia="仿宋" w:cs="仿宋"/>
          <w:kern w:val="0"/>
          <w:sz w:val="28"/>
          <w:szCs w:val="28"/>
          <w:lang w:val="en-US" w:eastAsia="zh-CN" w:bidi="ar-SA"/>
        </w:rPr>
        <w:t>；</w:t>
      </w:r>
    </w:p>
    <w:p>
      <w:pPr>
        <w:ind w:firstLine="560" w:firstLineChars="200"/>
        <w:rPr>
          <w:rFonts w:hint="eastAsia" w:ascii="仿宋" w:hAnsi="仿宋" w:eastAsia="仿宋" w:cs="仿宋"/>
          <w:kern w:val="0"/>
          <w:sz w:val="28"/>
          <w:szCs w:val="28"/>
          <w:lang w:val="zh-CN" w:eastAsia="zh-CN" w:bidi="ar-SA"/>
        </w:rPr>
      </w:pPr>
      <w:r>
        <w:rPr>
          <w:rFonts w:hint="eastAsia" w:ascii="仿宋" w:hAnsi="仿宋" w:eastAsia="仿宋" w:cs="仿宋"/>
          <w:kern w:val="0"/>
          <w:sz w:val="28"/>
          <w:szCs w:val="28"/>
          <w:lang w:val="en-US" w:eastAsia="zh-CN" w:bidi="ar-SA"/>
        </w:rPr>
        <w:t>2.</w:t>
      </w:r>
      <w:r>
        <w:rPr>
          <w:rFonts w:hint="eastAsia" w:ascii="仿宋" w:hAnsi="仿宋" w:eastAsia="仿宋" w:cs="仿宋"/>
          <w:kern w:val="0"/>
          <w:sz w:val="28"/>
          <w:szCs w:val="28"/>
          <w:lang w:val="zh-CN" w:eastAsia="zh-CN" w:bidi="ar-SA"/>
        </w:rPr>
        <w:t>对巡检服务及异常处理结果的评价</w:t>
      </w:r>
      <w:r>
        <w:rPr>
          <w:rFonts w:hint="eastAsia" w:ascii="仿宋" w:hAnsi="仿宋" w:eastAsia="仿宋" w:cs="仿宋"/>
          <w:kern w:val="0"/>
          <w:sz w:val="28"/>
          <w:szCs w:val="28"/>
          <w:lang w:val="en-US" w:eastAsia="zh-CN" w:bidi="ar-SA"/>
        </w:rPr>
        <w:t>；</w:t>
      </w:r>
    </w:p>
    <w:p>
      <w:pPr>
        <w:ind w:firstLine="560" w:firstLineChars="200"/>
        <w:rPr>
          <w:rFonts w:hint="eastAsia" w:ascii="仿宋" w:hAnsi="仿宋" w:eastAsia="仿宋" w:cs="仿宋"/>
          <w:kern w:val="0"/>
          <w:sz w:val="28"/>
          <w:szCs w:val="28"/>
          <w:lang w:val="zh-CN" w:eastAsia="zh-CN" w:bidi="ar-SA"/>
        </w:rPr>
      </w:pPr>
      <w:r>
        <w:rPr>
          <w:rFonts w:hint="eastAsia" w:ascii="仿宋" w:hAnsi="仿宋" w:eastAsia="仿宋" w:cs="仿宋"/>
          <w:kern w:val="0"/>
          <w:sz w:val="28"/>
          <w:szCs w:val="28"/>
          <w:lang w:val="en-US" w:eastAsia="zh-CN" w:bidi="ar-SA"/>
        </w:rPr>
        <w:t>3.</w:t>
      </w:r>
      <w:r>
        <w:rPr>
          <w:rFonts w:hint="eastAsia" w:ascii="仿宋" w:hAnsi="仿宋" w:eastAsia="仿宋" w:cs="仿宋"/>
          <w:kern w:val="0"/>
          <w:sz w:val="28"/>
          <w:szCs w:val="28"/>
          <w:lang w:val="zh-CN" w:eastAsia="zh-CN" w:bidi="ar-SA"/>
        </w:rPr>
        <w:t>巡检项目是否满足要求</w:t>
      </w:r>
      <w:r>
        <w:rPr>
          <w:rFonts w:hint="eastAsia" w:ascii="仿宋" w:hAnsi="仿宋" w:eastAsia="仿宋" w:cs="仿宋"/>
          <w:kern w:val="0"/>
          <w:sz w:val="28"/>
          <w:szCs w:val="28"/>
          <w:lang w:val="en-US" w:eastAsia="zh-CN" w:bidi="ar-SA"/>
        </w:rPr>
        <w:t>；</w:t>
      </w:r>
    </w:p>
    <w:p>
      <w:pPr>
        <w:ind w:firstLine="560" w:firstLineChars="200"/>
        <w:rPr>
          <w:rFonts w:hint="default"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4.</w:t>
      </w:r>
      <w:r>
        <w:rPr>
          <w:rFonts w:hint="eastAsia" w:ascii="仿宋" w:hAnsi="仿宋" w:eastAsia="仿宋" w:cs="仿宋"/>
          <w:kern w:val="0"/>
          <w:sz w:val="28"/>
          <w:szCs w:val="28"/>
          <w:lang w:val="zh-CN" w:eastAsia="zh-CN" w:bidi="ar-SA"/>
        </w:rPr>
        <w:t>巡检人员针对客户所提出的疑问解答结果的评价。</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六、项目预算</w:t>
      </w:r>
    </w:p>
    <w:p>
      <w:pPr>
        <w:ind w:firstLine="560" w:firstLineChars="200"/>
        <w:rPr>
          <w:rFonts w:hint="eastAsia" w:ascii="仿宋" w:hAnsi="仿宋" w:eastAsia="仿宋" w:cs="仿宋"/>
          <w:kern w:val="0"/>
          <w:sz w:val="28"/>
          <w:szCs w:val="28"/>
          <w:lang w:val="zh-CN" w:eastAsia="zh-CN" w:bidi="ar-SA"/>
        </w:rPr>
      </w:pPr>
      <w:r>
        <w:rPr>
          <w:rFonts w:hint="eastAsia" w:ascii="仿宋" w:hAnsi="仿宋" w:eastAsia="仿宋" w:cs="仿宋"/>
          <w:color w:val="auto"/>
          <w:kern w:val="2"/>
          <w:sz w:val="28"/>
          <w:szCs w:val="28"/>
          <w:highlight w:val="none"/>
          <w:lang w:val="zh-CN" w:eastAsia="zh-CN" w:bidi="ar-SA"/>
        </w:rPr>
        <w:t>（</w:t>
      </w:r>
      <w:r>
        <w:rPr>
          <w:rFonts w:hint="eastAsia" w:ascii="仿宋" w:hAnsi="仿宋" w:eastAsia="仿宋" w:cs="仿宋"/>
          <w:color w:val="auto"/>
          <w:kern w:val="2"/>
          <w:sz w:val="28"/>
          <w:szCs w:val="28"/>
          <w:highlight w:val="none"/>
          <w:lang w:val="en-US" w:eastAsia="zh-CN" w:bidi="ar-SA"/>
        </w:rPr>
        <w:t>一</w:t>
      </w:r>
      <w:r>
        <w:rPr>
          <w:rFonts w:hint="eastAsia" w:ascii="仿宋" w:hAnsi="仿宋" w:eastAsia="仿宋" w:cs="仿宋"/>
          <w:color w:val="auto"/>
          <w:kern w:val="2"/>
          <w:sz w:val="28"/>
          <w:szCs w:val="28"/>
          <w:highlight w:val="none"/>
          <w:lang w:val="zh-CN" w:eastAsia="zh-CN" w:bidi="ar-SA"/>
        </w:rPr>
        <w:t>）本项目（含税）</w:t>
      </w:r>
      <w:r>
        <w:rPr>
          <w:rFonts w:hint="eastAsia" w:ascii="仿宋" w:hAnsi="仿宋" w:eastAsia="仿宋" w:cs="仿宋"/>
          <w:kern w:val="0"/>
          <w:sz w:val="28"/>
          <w:szCs w:val="28"/>
          <w:lang w:val="zh-CN" w:eastAsia="zh-CN" w:bidi="ar-SA"/>
        </w:rPr>
        <w:t>最高限价为人民币</w:t>
      </w:r>
      <w:r>
        <w:rPr>
          <w:rFonts w:hint="eastAsia" w:ascii="仿宋" w:hAnsi="仿宋" w:eastAsia="仿宋" w:cs="仿宋"/>
          <w:kern w:val="0"/>
          <w:sz w:val="28"/>
          <w:szCs w:val="28"/>
          <w:lang w:val="en-US" w:eastAsia="zh-CN" w:bidi="ar-SA"/>
        </w:rPr>
        <w:t>1.12</w:t>
      </w:r>
      <w:r>
        <w:rPr>
          <w:rFonts w:hint="eastAsia" w:ascii="仿宋" w:hAnsi="仿宋" w:eastAsia="仿宋" w:cs="仿宋"/>
          <w:kern w:val="0"/>
          <w:sz w:val="28"/>
          <w:szCs w:val="28"/>
          <w:lang w:val="zh-CN" w:eastAsia="zh-CN" w:bidi="ar-SA"/>
        </w:rPr>
        <w:t>万元整（</w:t>
      </w:r>
      <w:r>
        <w:rPr>
          <w:rFonts w:hint="eastAsia" w:ascii="仿宋" w:hAnsi="仿宋" w:eastAsia="仿宋" w:cs="仿宋"/>
          <w:kern w:val="0"/>
          <w:sz w:val="28"/>
          <w:szCs w:val="28"/>
          <w:lang w:val="en-US" w:eastAsia="zh-CN" w:bidi="ar-SA"/>
        </w:rPr>
        <w:t>报价不得超过最高限价</w:t>
      </w:r>
      <w:r>
        <w:rPr>
          <w:rFonts w:hint="eastAsia" w:ascii="仿宋" w:hAnsi="仿宋" w:eastAsia="仿宋" w:cs="仿宋"/>
          <w:kern w:val="0"/>
          <w:sz w:val="28"/>
          <w:szCs w:val="28"/>
          <w:lang w:val="zh-CN" w:eastAsia="zh-CN" w:bidi="ar-SA"/>
        </w:rPr>
        <w:t>），中选（成交）供应商需根据实际成交价提供</w:t>
      </w:r>
      <w:r>
        <w:rPr>
          <w:rFonts w:hint="eastAsia" w:ascii="仿宋" w:hAnsi="仿宋" w:eastAsia="仿宋" w:cs="仿宋"/>
          <w:kern w:val="0"/>
          <w:sz w:val="28"/>
          <w:szCs w:val="28"/>
          <w:lang w:val="en-US" w:eastAsia="zh-CN" w:bidi="ar-SA"/>
        </w:rPr>
        <w:t>6</w:t>
      </w:r>
      <w:r>
        <w:rPr>
          <w:rFonts w:hint="eastAsia" w:ascii="仿宋" w:hAnsi="仿宋" w:eastAsia="仿宋" w:cs="仿宋"/>
          <w:kern w:val="0"/>
          <w:sz w:val="28"/>
          <w:szCs w:val="28"/>
          <w:lang w:val="zh-CN" w:eastAsia="zh-CN" w:bidi="ar-SA"/>
        </w:rPr>
        <w:t>%增值税专用发票。</w:t>
      </w:r>
    </w:p>
    <w:p>
      <w:pPr>
        <w:ind w:firstLine="560" w:firstLineChars="200"/>
        <w:rPr>
          <w:rFonts w:hint="default" w:ascii="仿宋" w:hAnsi="仿宋" w:eastAsia="仿宋" w:cs="仿宋"/>
          <w:kern w:val="0"/>
          <w:sz w:val="28"/>
          <w:szCs w:val="28"/>
          <w:lang w:val="en-US" w:eastAsia="zh-CN" w:bidi="ar-SA"/>
        </w:rPr>
      </w:pPr>
      <w:r>
        <w:rPr>
          <w:rFonts w:hint="eastAsia" w:ascii="仿宋" w:hAnsi="仿宋" w:eastAsia="仿宋" w:cs="仿宋"/>
          <w:kern w:val="0"/>
          <w:sz w:val="28"/>
          <w:szCs w:val="28"/>
          <w:lang w:val="zh-CN" w:eastAsia="zh-CN" w:bidi="ar-SA"/>
        </w:rPr>
        <w:t>（</w:t>
      </w:r>
      <w:r>
        <w:rPr>
          <w:rFonts w:hint="eastAsia" w:ascii="仿宋" w:hAnsi="仿宋" w:eastAsia="仿宋" w:cs="仿宋"/>
          <w:kern w:val="0"/>
          <w:sz w:val="28"/>
          <w:szCs w:val="28"/>
          <w:lang w:val="en-US" w:eastAsia="zh-CN" w:bidi="ar-SA"/>
        </w:rPr>
        <w:t>二</w:t>
      </w:r>
      <w:r>
        <w:rPr>
          <w:rFonts w:hint="eastAsia" w:ascii="仿宋" w:hAnsi="仿宋" w:eastAsia="仿宋" w:cs="仿宋"/>
          <w:kern w:val="0"/>
          <w:sz w:val="28"/>
          <w:szCs w:val="28"/>
          <w:lang w:val="zh-CN" w:eastAsia="zh-CN" w:bidi="ar-SA"/>
        </w:rPr>
        <w:t>）</w:t>
      </w:r>
      <w:r>
        <w:rPr>
          <w:rFonts w:hint="eastAsia" w:ascii="仿宋" w:hAnsi="仿宋" w:eastAsia="仿宋" w:cs="仿宋"/>
          <w:kern w:val="0"/>
          <w:sz w:val="28"/>
          <w:szCs w:val="28"/>
          <w:lang w:val="en-US" w:eastAsia="zh-CN" w:bidi="ar-SA"/>
        </w:rPr>
        <w:t>付款分两期支付：</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zh-CN" w:eastAsia="zh-CN" w:bidi="ar-SA"/>
        </w:rPr>
        <w:t>第一期：</w:t>
      </w:r>
      <w:r>
        <w:rPr>
          <w:rFonts w:hint="eastAsia" w:ascii="仿宋" w:hAnsi="仿宋" w:eastAsia="仿宋" w:cs="仿宋"/>
          <w:kern w:val="0"/>
          <w:sz w:val="28"/>
          <w:szCs w:val="28"/>
          <w:lang w:val="en-US" w:eastAsia="zh-CN" w:bidi="ar-SA"/>
        </w:rPr>
        <w:t>合同签订生效后，在采购人收到中选（成交）供应商提供6%服务增值税专用发票的20个工作日内，采购人将</w:t>
      </w:r>
      <w:r>
        <w:rPr>
          <w:rFonts w:hint="eastAsia" w:ascii="仿宋" w:hAnsi="仿宋" w:eastAsia="仿宋" w:cs="仿宋"/>
          <w:kern w:val="0"/>
          <w:sz w:val="28"/>
          <w:szCs w:val="28"/>
          <w:lang w:val="zh-CN" w:eastAsia="zh-CN" w:bidi="ar-SA"/>
        </w:rPr>
        <w:t>实际成交价</w:t>
      </w:r>
      <w:r>
        <w:rPr>
          <w:rFonts w:hint="eastAsia" w:ascii="仿宋" w:hAnsi="仿宋" w:eastAsia="仿宋" w:cs="仿宋"/>
          <w:kern w:val="0"/>
          <w:sz w:val="28"/>
          <w:szCs w:val="28"/>
          <w:lang w:val="en-US" w:eastAsia="zh-CN" w:bidi="ar-SA"/>
        </w:rPr>
        <w:t>的70%支付给中选（成交）供应商。</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zh-CN" w:eastAsia="zh-CN" w:bidi="ar-SA"/>
        </w:rPr>
        <w:t>第</w:t>
      </w:r>
      <w:r>
        <w:rPr>
          <w:rFonts w:hint="eastAsia" w:ascii="仿宋" w:hAnsi="仿宋" w:eastAsia="仿宋" w:cs="仿宋"/>
          <w:kern w:val="0"/>
          <w:sz w:val="28"/>
          <w:szCs w:val="28"/>
          <w:lang w:val="en-US" w:eastAsia="zh-CN" w:bidi="ar-SA"/>
        </w:rPr>
        <w:t>二</w:t>
      </w:r>
      <w:r>
        <w:rPr>
          <w:rFonts w:hint="eastAsia" w:ascii="仿宋" w:hAnsi="仿宋" w:eastAsia="仿宋" w:cs="仿宋"/>
          <w:kern w:val="0"/>
          <w:sz w:val="28"/>
          <w:szCs w:val="28"/>
          <w:lang w:val="zh-CN" w:eastAsia="zh-CN" w:bidi="ar-SA"/>
        </w:rPr>
        <w:t>期：</w:t>
      </w:r>
      <w:r>
        <w:rPr>
          <w:rFonts w:hint="eastAsia" w:ascii="仿宋" w:hAnsi="仿宋" w:eastAsia="仿宋" w:cs="仿宋"/>
          <w:kern w:val="0"/>
          <w:sz w:val="28"/>
          <w:szCs w:val="28"/>
          <w:lang w:val="en-US" w:eastAsia="zh-CN" w:bidi="ar-SA"/>
        </w:rPr>
        <w:t>整个项目验收合格后并经考核合格后，在采购人收到中选（成交）供应商提供6%服务增值税专用发票的20个工作日内，采购人将</w:t>
      </w:r>
      <w:r>
        <w:rPr>
          <w:rFonts w:hint="eastAsia" w:ascii="仿宋" w:hAnsi="仿宋" w:eastAsia="仿宋" w:cs="仿宋"/>
          <w:kern w:val="0"/>
          <w:sz w:val="28"/>
          <w:szCs w:val="28"/>
          <w:lang w:val="zh-CN" w:eastAsia="zh-CN" w:bidi="ar-SA"/>
        </w:rPr>
        <w:t>实际成交价</w:t>
      </w:r>
      <w:r>
        <w:rPr>
          <w:rFonts w:hint="eastAsia" w:ascii="仿宋" w:hAnsi="仿宋" w:eastAsia="仿宋" w:cs="仿宋"/>
          <w:kern w:val="0"/>
          <w:sz w:val="28"/>
          <w:szCs w:val="28"/>
          <w:lang w:val="en-US" w:eastAsia="zh-CN" w:bidi="ar-SA"/>
        </w:rPr>
        <w:t>的30%支付给中选（成交）供应商。</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cs="Times New Roman" w:hAnsiTheme="minorEastAsia"/>
          <w:kern w:val="0"/>
          <w:sz w:val="28"/>
          <w:szCs w:val="28"/>
        </w:rPr>
        <w:t>或其他符合法规的证明性材料</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pStyle w:val="12"/>
        <w:spacing w:line="276" w:lineRule="auto"/>
        <w:ind w:left="0" w:leftChars="0" w:firstLine="0" w:firstLineChars="0"/>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、文件盖章及制作格式</w:t>
      </w:r>
    </w:p>
    <w:p>
      <w:pPr>
        <w:pStyle w:val="15"/>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5"/>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十、确定供应商</w:t>
      </w:r>
    </w:p>
    <w:p>
      <w:pPr>
        <w:pStyle w:val="12"/>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2"/>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2"/>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6"/>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2"/>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default"/>
          <w:lang w:val="en-US"/>
        </w:rPr>
      </w:pPr>
      <w:r>
        <w:rPr>
          <w:rFonts w:hint="eastAsia" w:ascii="仿宋" w:hAnsi="仿宋" w:eastAsia="仿宋" w:cs="仿宋"/>
          <w:color w:val="auto"/>
          <w:spacing w:val="0"/>
          <w:kern w:val="0"/>
          <w:sz w:val="28"/>
          <w:szCs w:val="28"/>
          <w:highlight w:val="none"/>
          <w:lang w:val="en-US" w:eastAsia="zh-CN" w:bidi="ar-SA"/>
        </w:rPr>
        <w:t>2024年1月12日</w:t>
      </w:r>
    </w:p>
    <w:p>
      <w:pPr>
        <w:pStyle w:val="16"/>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0"/>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JYCG2024002</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银洲湖高速公路有限公司OA系统维护2024年度项目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10"/>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10"/>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2"/>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color w:val="auto"/>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宋体" w:hAnsi="宋体" w:eastAsia="宋体" w:cs="宋体"/>
          <w:b w:val="0"/>
          <w:bCs w:val="0"/>
          <w:color w:val="auto"/>
          <w:highlight w:val="none"/>
        </w:rPr>
      </w:pPr>
      <w:r>
        <w:rPr>
          <w:rFonts w:hint="eastAsia" w:asciiTheme="minorEastAsia" w:hAnsiTheme="minorEastAsia" w:eastAsiaTheme="minorEastAsia" w:cstheme="minorEastAsia"/>
          <w:color w:val="auto"/>
          <w:highlight w:val="none"/>
        </w:rPr>
        <w:t>1．我方已仔细</w:t>
      </w:r>
      <w:r>
        <w:rPr>
          <w:rFonts w:hint="eastAsia" w:ascii="宋体" w:hAnsi="宋体" w:eastAsia="宋体" w:cs="宋体"/>
          <w:b w:val="0"/>
          <w:bCs w:val="0"/>
          <w:color w:val="auto"/>
          <w:highlight w:val="none"/>
        </w:rPr>
        <w:t>研究了</w:t>
      </w:r>
      <w:r>
        <w:rPr>
          <w:rFonts w:hint="eastAsia" w:ascii="宋体" w:hAnsi="宋体" w:eastAsia="宋体" w:cs="宋体"/>
          <w:b w:val="0"/>
          <w:bCs w:val="0"/>
          <w:color w:val="auto"/>
          <w:highlight w:val="none"/>
          <w:lang w:val="en-US" w:eastAsia="zh-CN"/>
        </w:rPr>
        <w:t>银洲湖高速公路有限公司OA系统维护2024年度项目采购</w:t>
      </w:r>
      <w:r>
        <w:rPr>
          <w:rFonts w:hint="eastAsia" w:ascii="宋体" w:hAnsi="宋体" w:eastAsia="宋体" w:cs="宋体"/>
          <w:b w:val="0"/>
          <w:bCs w:val="0"/>
          <w:color w:val="auto"/>
          <w:highlight w:val="none"/>
        </w:rPr>
        <w:t>文件的全部内容，现提交响应文件。包括以下内容：</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2"/>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2"/>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jc w:val="right"/>
        <w:textAlignment w:val="auto"/>
        <w:rPr>
          <w:rFonts w:hint="eastAsia" w:asciiTheme="minorEastAsia" w:hAnsiTheme="minorEastAsia" w:eastAsiaTheme="minorEastAsia" w:cstheme="minorEastAsia"/>
          <w:color w:val="auto"/>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sz w:val="28"/>
          <w:szCs w:val="28"/>
          <w:highlight w:val="none"/>
          <w:u w:val="double"/>
          <w:lang w:val="en-US" w:eastAsia="zh-CN"/>
        </w:rPr>
        <w:t>七</w:t>
      </w:r>
      <w:r>
        <w:rPr>
          <w:rFonts w:hint="eastAsia" w:ascii="仿宋" w:hAnsi="仿宋" w:eastAsia="仿宋" w:cs="仿宋"/>
          <w:b/>
          <w:bCs/>
          <w:i/>
          <w:iCs/>
          <w:color w:val="auto"/>
          <w:sz w:val="28"/>
          <w:szCs w:val="28"/>
          <w:highlight w:val="none"/>
          <w:u w:val="double"/>
        </w:rPr>
        <w:t>条供应商资格条件</w:t>
      </w: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九</w:t>
      </w:r>
      <w:r>
        <w:rPr>
          <w:rFonts w:hint="eastAsia" w:ascii="仿宋" w:hAnsi="仿宋" w:eastAsia="仿宋" w:cs="仿宋"/>
          <w:b/>
          <w:bCs/>
          <w:i/>
          <w:iCs/>
          <w:color w:val="auto"/>
          <w:sz w:val="28"/>
          <w:szCs w:val="28"/>
          <w:highlight w:val="none"/>
          <w:u w:val="double"/>
        </w:rPr>
        <w:t>条采购需求技术方案</w:t>
      </w:r>
    </w:p>
    <w:p>
      <w:pPr>
        <w:pStyle w:val="2"/>
        <w:ind w:left="420"/>
        <w:rPr>
          <w:rFonts w:ascii="仿宋" w:hAnsi="仿宋" w:eastAsia="仿宋" w:cs="仿宋"/>
          <w:b/>
          <w:bCs/>
          <w:i/>
          <w:iCs/>
          <w:color w:val="auto"/>
          <w:sz w:val="28"/>
          <w:szCs w:val="28"/>
          <w:highlight w:val="none"/>
          <w:u w:val="doubl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7"/>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val="en-US" w:eastAsia="zh-CN"/>
        </w:rPr>
        <w:t>银洲湖高速公路有限公司OA系统维护2024年度项目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JYCG2024002</w:t>
      </w:r>
    </w:p>
    <w:p>
      <w:pPr>
        <w:pStyle w:val="5"/>
        <w:spacing w:after="156" w:afterLines="50" w:line="400" w:lineRule="exact"/>
        <w:ind w:firstLine="210" w:firstLineChars="100"/>
        <w:rPr>
          <w:rFonts w:hint="eastAsia" w:ascii="宋体" w:hAnsi="宋体" w:eastAsia="宋体" w:cs="宋体"/>
          <w:color w:val="auto"/>
          <w:kern w:val="0"/>
          <w:sz w:val="21"/>
          <w:szCs w:val="21"/>
          <w:highlight w:val="none"/>
          <w:lang w:val="en-US" w:eastAsia="zh-CN"/>
        </w:rPr>
      </w:pPr>
    </w:p>
    <w:tbl>
      <w:tblPr>
        <w:tblStyle w:val="10"/>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含税总价（元</w:t>
            </w:r>
            <w:r>
              <w:rPr>
                <w:rFonts w:hint="eastAsia" w:ascii="宋体" w:hAnsi="宋体" w:eastAsia="宋体" w:cs="宋体"/>
                <w:color w:val="auto"/>
                <w:kern w:val="0"/>
                <w:sz w:val="21"/>
                <w:szCs w:val="21"/>
                <w:highlight w:val="none"/>
                <w:lang w:val="en-US" w:eastAsia="zh-CN"/>
              </w:rPr>
              <w:t>人民币</w:t>
            </w:r>
            <w:r>
              <w:rPr>
                <w:rFonts w:hint="eastAsia" w:ascii="宋体" w:hAnsi="宋体" w:eastAsia="宋体" w:cs="宋体"/>
                <w:color w:val="auto"/>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注明</w:t>
      </w:r>
    </w:p>
    <w:p>
      <w:pPr>
        <w:pStyle w:val="5"/>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w:t>
      </w:r>
      <w:r>
        <w:rPr>
          <w:rFonts w:hint="eastAsia" w:ascii="宋体" w:hAnsi="宋体" w:cs="Times New Roman"/>
          <w:b/>
          <w:bCs/>
          <w:sz w:val="21"/>
          <w:szCs w:val="21"/>
          <w:lang w:val="en-US" w:eastAsia="zh-CN"/>
        </w:rPr>
        <w:t>预算1.12万元，否则作</w:t>
      </w:r>
      <w:r>
        <w:rPr>
          <w:rFonts w:hint="eastAsia" w:ascii="宋体" w:hAnsi="宋体"/>
          <w:b/>
          <w:bCs/>
          <w:sz w:val="21"/>
          <w:szCs w:val="21"/>
          <w:lang w:val="en-US" w:eastAsia="zh-CN"/>
        </w:rPr>
        <w:t>否决评审处理。</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5"/>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5"/>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r>
        <w:rPr>
          <w:rFonts w:hint="eastAsia" w:ascii="宋体" w:hAnsi="宋体"/>
          <w:sz w:val="21"/>
          <w:szCs w:val="21"/>
          <w:lang w:eastAsia="zh-CN"/>
        </w:rPr>
        <w:t>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5"/>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jc w:val="right"/>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7"/>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kern w:val="2"/>
          <w:sz w:val="52"/>
          <w:szCs w:val="52"/>
          <w:highlight w:val="none"/>
          <w:lang w:val="en-US" w:eastAsia="zh-CN" w:bidi="ar-SA"/>
        </w:rPr>
        <w:t>银洲湖高速公路有限公司OA系统维护2024年度项目</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default" w:ascii="黑体" w:hAnsi="黑体" w:eastAsia="黑体" w:cs="黑体"/>
          <w:b/>
          <w:color w:val="auto"/>
          <w:sz w:val="52"/>
          <w:szCs w:val="52"/>
          <w:highlight w:val="none"/>
          <w:lang w:val="en-US" w:eastAsia="zh-CN"/>
        </w:rPr>
        <w:t>采购合同</w:t>
      </w:r>
    </w:p>
    <w:p>
      <w:pPr>
        <w:widowControl/>
        <w:spacing w:line="360" w:lineRule="auto"/>
        <w:jc w:val="left"/>
        <w:rPr>
          <w:color w:val="auto"/>
          <w:highlight w:val="none"/>
        </w:rPr>
      </w:pPr>
      <w:r>
        <w:rPr>
          <w:color w:val="auto"/>
          <w:highlight w:val="none"/>
        </w:rPr>
        <w:br w:type="page"/>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甲方：</w:t>
      </w:r>
      <w:r>
        <w:rPr>
          <w:rFonts w:hint="eastAsia" w:ascii="宋体" w:hAnsi="宋体" w:eastAsia="宋体" w:cs="宋体"/>
          <w:color w:val="auto"/>
          <w:sz w:val="21"/>
          <w:szCs w:val="21"/>
          <w:u w:val="single"/>
        </w:rPr>
        <w:t>数字江门网络建设有限公司</w:t>
      </w:r>
      <w:r>
        <w:rPr>
          <w:rFonts w:hint="eastAsia" w:ascii="宋体" w:hAnsi="宋体" w:eastAsia="宋体" w:cs="宋体"/>
          <w:color w:val="auto"/>
          <w:sz w:val="21"/>
          <w:szCs w:val="21"/>
        </w:rPr>
        <w:t>（以下简称“甲方”）</w:t>
      </w:r>
    </w:p>
    <w:p>
      <w:pPr>
        <w:spacing w:line="360" w:lineRule="auto"/>
        <w:rPr>
          <w:rFonts w:hint="eastAsia" w:ascii="宋体" w:hAnsi="宋体" w:eastAsia="宋体" w:cs="宋体"/>
          <w:color w:val="auto"/>
          <w:sz w:val="21"/>
          <w:szCs w:val="21"/>
          <w:u w:val="single"/>
        </w:rPr>
      </w:pPr>
      <w:r>
        <w:rPr>
          <w:rFonts w:hint="eastAsia" w:ascii="宋体" w:hAnsi="宋体" w:eastAsia="宋体" w:cs="宋体"/>
          <w:color w:val="auto"/>
          <w:sz w:val="21"/>
          <w:szCs w:val="21"/>
        </w:rPr>
        <w:t>地址：</w:t>
      </w:r>
      <w:r>
        <w:rPr>
          <w:rFonts w:hint="eastAsia" w:ascii="宋体" w:hAnsi="宋体" w:eastAsia="宋体" w:cs="宋体"/>
          <w:color w:val="auto"/>
          <w:sz w:val="21"/>
          <w:szCs w:val="21"/>
          <w:u w:val="single"/>
        </w:rPr>
        <w:t>江门市蓬江区发展大道178号 1幢103第三层自编B区</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邮编：</w:t>
      </w:r>
      <w:r>
        <w:rPr>
          <w:rFonts w:hint="eastAsia" w:ascii="宋体" w:hAnsi="宋体" w:eastAsia="宋体" w:cs="宋体"/>
          <w:color w:val="auto"/>
          <w:sz w:val="21"/>
          <w:szCs w:val="21"/>
          <w:u w:val="single"/>
        </w:rPr>
        <w:t>529000</w:t>
      </w:r>
    </w:p>
    <w:p>
      <w:pPr>
        <w:spacing w:line="360" w:lineRule="auto"/>
        <w:rPr>
          <w:rFonts w:hint="eastAsia" w:ascii="宋体" w:hAnsi="宋体" w:eastAsia="宋体" w:cs="宋体"/>
          <w:color w:val="auto"/>
          <w:sz w:val="21"/>
          <w:szCs w:val="21"/>
        </w:rPr>
      </w:pP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乙方：</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（以下简称“乙方”）</w:t>
      </w:r>
    </w:p>
    <w:p>
      <w:pPr>
        <w:spacing w:line="360" w:lineRule="auto"/>
        <w:rPr>
          <w:rFonts w:hint="eastAsia" w:ascii="宋体" w:hAnsi="宋体" w:eastAsia="宋体" w:cs="宋体"/>
          <w:color w:val="auto"/>
          <w:sz w:val="21"/>
          <w:szCs w:val="21"/>
          <w:u w:val="single"/>
        </w:rPr>
      </w:pPr>
      <w:r>
        <w:rPr>
          <w:rFonts w:hint="eastAsia" w:ascii="宋体" w:hAnsi="宋体" w:eastAsia="宋体" w:cs="宋体"/>
          <w:color w:val="auto"/>
          <w:sz w:val="21"/>
          <w:szCs w:val="21"/>
        </w:rPr>
        <w:t>地址：</w:t>
      </w:r>
      <w:r>
        <w:rPr>
          <w:rFonts w:hint="eastAsia" w:ascii="宋体" w:hAnsi="宋体" w:eastAsia="宋体" w:cs="宋体"/>
          <w:color w:val="auto"/>
          <w:sz w:val="21"/>
          <w:szCs w:val="21"/>
          <w:u w:val="single"/>
          <w:lang w:val="en-US" w:eastAsia="zh-CN"/>
        </w:rPr>
        <w:t xml:space="preserve">                           </w:t>
      </w:r>
    </w:p>
    <w:p>
      <w:pPr>
        <w:spacing w:line="360" w:lineRule="auto"/>
        <w:rPr>
          <w:rFonts w:hint="eastAsia" w:ascii="宋体" w:hAnsi="宋体" w:eastAsia="宋体" w:cs="宋体"/>
          <w:color w:val="auto"/>
          <w:sz w:val="21"/>
          <w:szCs w:val="21"/>
          <w:lang w:val="en-US"/>
        </w:rPr>
      </w:pPr>
      <w:r>
        <w:rPr>
          <w:rFonts w:hint="eastAsia" w:ascii="宋体" w:hAnsi="宋体" w:eastAsia="宋体" w:cs="宋体"/>
          <w:color w:val="auto"/>
          <w:sz w:val="21"/>
          <w:szCs w:val="21"/>
        </w:rPr>
        <w:t>邮编</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u w:val="single"/>
          <w:lang w:val="en-US" w:eastAsia="zh-CN"/>
        </w:rPr>
        <w:t xml:space="preserve">                           </w:t>
      </w:r>
    </w:p>
    <w:p>
      <w:pPr>
        <w:spacing w:line="360" w:lineRule="auto"/>
        <w:rPr>
          <w:rFonts w:hint="eastAsia" w:ascii="宋体" w:hAnsi="宋体" w:eastAsia="宋体" w:cs="宋体"/>
          <w:color w:val="auto"/>
          <w:sz w:val="21"/>
          <w:szCs w:val="21"/>
        </w:rPr>
      </w:pP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甲乙双方根据《中华人民共和国</w:t>
      </w:r>
      <w:r>
        <w:rPr>
          <w:rFonts w:hint="eastAsia" w:ascii="宋体" w:hAnsi="宋体" w:eastAsia="宋体" w:cs="宋体"/>
          <w:color w:val="auto"/>
          <w:sz w:val="21"/>
          <w:szCs w:val="21"/>
          <w:lang w:val="en-US" w:eastAsia="zh-Hans"/>
        </w:rPr>
        <w:t>民法典</w:t>
      </w:r>
      <w:r>
        <w:rPr>
          <w:rFonts w:hint="eastAsia" w:ascii="宋体" w:hAnsi="宋体" w:eastAsia="宋体" w:cs="宋体"/>
          <w:color w:val="auto"/>
          <w:sz w:val="21"/>
          <w:szCs w:val="21"/>
        </w:rPr>
        <w:t>》、《中华人民共和国招标投标法》等有关法律法规的规定，按照</w:t>
      </w:r>
      <w:r>
        <w:rPr>
          <w:rFonts w:hint="eastAsia" w:ascii="宋体" w:hAnsi="宋体" w:eastAsia="宋体" w:cs="宋体"/>
          <w:color w:val="auto"/>
          <w:sz w:val="21"/>
          <w:szCs w:val="21"/>
          <w:u w:val="single"/>
        </w:rPr>
        <w:t>银洲湖高速公路有限公司OA系统维护2024年度项目</w:t>
      </w:r>
      <w:r>
        <w:rPr>
          <w:rFonts w:hint="eastAsia" w:ascii="宋体" w:hAnsi="宋体" w:eastAsia="宋体" w:cs="宋体"/>
          <w:color w:val="auto"/>
          <w:sz w:val="21"/>
          <w:szCs w:val="21"/>
        </w:rPr>
        <w:t>的采购结果、采购文件、乙方的响应文件及澄清文件和成交通知书的要求，经双方协商一致，订立合同如下：</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第一条</w:t>
      </w:r>
      <w:r>
        <w:rPr>
          <w:rFonts w:hint="eastAsia" w:ascii="宋体" w:hAnsi="宋体" w:eastAsia="宋体" w:cs="宋体"/>
          <w:b/>
          <w:bCs/>
          <w:color w:val="auto"/>
          <w:sz w:val="21"/>
          <w:szCs w:val="21"/>
          <w:lang w:val="en-US" w:eastAsia="zh-CN"/>
        </w:rPr>
        <w:t xml:space="preserve"> </w:t>
      </w:r>
      <w:r>
        <w:rPr>
          <w:rFonts w:hint="eastAsia" w:ascii="宋体" w:hAnsi="宋体" w:eastAsia="宋体" w:cs="宋体"/>
          <w:b/>
          <w:bCs/>
          <w:color w:val="auto"/>
          <w:sz w:val="21"/>
          <w:szCs w:val="21"/>
        </w:rPr>
        <w:t xml:space="preserve"> 项目的名称、项目总价、服务内容和服务过程中所需的清单（名称、数量、规格、单价、型号、品牌和技术指标等）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（一）项目名称：银洲湖高速公路有限公司OA系统维护2024年度项目；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项目总价是完成项目的含税全包价，所有价格变动的风险均由乙方承担，甲方不需再向乙方支付任何其他费用。所有款项均以人民币结算，支付方式可为支票、电汇方式。乙方账号信息如下（如乙方不另行通知，则甲方按如下执行）：</w:t>
      </w:r>
    </w:p>
    <w:p>
      <w:pPr>
        <w:spacing w:line="360" w:lineRule="auto"/>
        <w:ind w:firstLine="420" w:firstLineChars="200"/>
        <w:rPr>
          <w:rFonts w:hint="eastAsia" w:ascii="宋体" w:hAnsi="宋体" w:eastAsia="宋体" w:cs="宋体"/>
          <w:color w:val="auto"/>
          <w:sz w:val="21"/>
          <w:szCs w:val="21"/>
          <w:u w:val="single"/>
          <w:lang w:val="en-US" w:eastAsia="zh-CN"/>
        </w:rPr>
      </w:pPr>
      <w:r>
        <w:rPr>
          <w:rFonts w:hint="eastAsia" w:ascii="宋体" w:hAnsi="宋体" w:eastAsia="宋体" w:cs="宋体"/>
          <w:color w:val="auto"/>
          <w:sz w:val="21"/>
          <w:szCs w:val="21"/>
        </w:rPr>
        <w:t>公司名称：</w:t>
      </w:r>
      <w:r>
        <w:rPr>
          <w:rFonts w:hint="eastAsia" w:ascii="宋体" w:hAnsi="宋体" w:eastAsia="宋体" w:cs="宋体"/>
          <w:color w:val="auto"/>
          <w:sz w:val="21"/>
          <w:szCs w:val="21"/>
          <w:u w:val="single"/>
          <w:lang w:val="en-US" w:eastAsia="zh-CN"/>
        </w:rPr>
        <w:t xml:space="preserve">     </w:t>
      </w:r>
    </w:p>
    <w:p>
      <w:pPr>
        <w:spacing w:line="360" w:lineRule="auto"/>
        <w:ind w:firstLine="420" w:firstLineChars="200"/>
        <w:rPr>
          <w:rFonts w:hint="eastAsia" w:ascii="宋体" w:hAnsi="宋体" w:eastAsia="宋体" w:cs="宋体"/>
          <w:color w:val="auto"/>
          <w:sz w:val="21"/>
          <w:szCs w:val="21"/>
          <w:u w:val="single"/>
          <w:lang w:val="en-US" w:eastAsia="zh-CN"/>
        </w:rPr>
      </w:pPr>
      <w:r>
        <w:rPr>
          <w:rFonts w:hint="eastAsia" w:ascii="宋体" w:hAnsi="宋体" w:eastAsia="宋体" w:cs="宋体"/>
          <w:color w:val="auto"/>
          <w:sz w:val="21"/>
          <w:szCs w:val="21"/>
        </w:rPr>
        <w:t>公司地址：</w:t>
      </w:r>
      <w:r>
        <w:rPr>
          <w:rFonts w:hint="eastAsia" w:ascii="宋体" w:hAnsi="宋体" w:eastAsia="宋体" w:cs="宋体"/>
          <w:color w:val="auto"/>
          <w:sz w:val="21"/>
          <w:szCs w:val="21"/>
          <w:u w:val="single"/>
          <w:lang w:val="en-US" w:eastAsia="zh-CN"/>
        </w:rPr>
        <w:t xml:space="preserve">     </w:t>
      </w:r>
    </w:p>
    <w:p>
      <w:pPr>
        <w:adjustRightInd w:val="0"/>
        <w:snapToGrid w:val="0"/>
        <w:spacing w:line="360" w:lineRule="auto"/>
        <w:ind w:firstLine="420" w:firstLineChars="200"/>
        <w:rPr>
          <w:rFonts w:hint="eastAsia" w:ascii="宋体" w:hAnsi="宋体" w:eastAsia="宋体" w:cs="宋体"/>
          <w:color w:val="auto"/>
          <w:sz w:val="21"/>
          <w:szCs w:val="21"/>
          <w:u w:val="single"/>
          <w:lang w:val="en-US" w:eastAsia="zh-CN"/>
        </w:rPr>
      </w:pPr>
      <w:r>
        <w:rPr>
          <w:rFonts w:hint="eastAsia" w:ascii="宋体" w:hAnsi="宋体" w:eastAsia="宋体" w:cs="宋体"/>
          <w:color w:val="auto"/>
          <w:sz w:val="21"/>
          <w:szCs w:val="21"/>
        </w:rPr>
        <w:t>电话：</w:t>
      </w:r>
      <w:r>
        <w:rPr>
          <w:rFonts w:hint="eastAsia" w:ascii="宋体" w:hAnsi="宋体" w:eastAsia="宋体" w:cs="宋体"/>
          <w:color w:val="auto"/>
          <w:sz w:val="21"/>
          <w:szCs w:val="21"/>
          <w:u w:val="single"/>
          <w:lang w:val="en-US" w:eastAsia="zh-CN"/>
        </w:rPr>
        <w:t xml:space="preserve">     </w:t>
      </w:r>
    </w:p>
    <w:p>
      <w:pPr>
        <w:adjustRightInd w:val="0"/>
        <w:snapToGrid w:val="0"/>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开户银行：</w:t>
      </w:r>
      <w:r>
        <w:rPr>
          <w:rFonts w:hint="eastAsia" w:ascii="宋体" w:hAnsi="宋体" w:eastAsia="宋体" w:cs="宋体"/>
          <w:color w:val="auto"/>
          <w:sz w:val="21"/>
          <w:szCs w:val="21"/>
          <w:u w:val="single"/>
          <w:lang w:val="en-US" w:eastAsia="zh-CN"/>
        </w:rPr>
        <w:t xml:space="preserve">     </w:t>
      </w:r>
    </w:p>
    <w:p>
      <w:pPr>
        <w:adjustRightInd w:val="0"/>
        <w:snapToGrid w:val="0"/>
        <w:spacing w:line="360" w:lineRule="auto"/>
        <w:ind w:firstLine="420" w:firstLineChars="200"/>
        <w:rPr>
          <w:rFonts w:hint="eastAsia" w:ascii="宋体" w:hAnsi="宋体" w:eastAsia="宋体" w:cs="宋体"/>
          <w:color w:val="auto"/>
          <w:sz w:val="21"/>
          <w:szCs w:val="21"/>
          <w:u w:val="single"/>
          <w:lang w:val="en-US" w:eastAsia="zh-CN"/>
        </w:rPr>
      </w:pPr>
      <w:r>
        <w:rPr>
          <w:rFonts w:hint="eastAsia" w:ascii="宋体" w:hAnsi="宋体" w:eastAsia="宋体" w:cs="宋体"/>
          <w:color w:val="auto"/>
          <w:sz w:val="21"/>
          <w:szCs w:val="21"/>
        </w:rPr>
        <w:t>账号：</w:t>
      </w:r>
      <w:r>
        <w:rPr>
          <w:rFonts w:hint="eastAsia" w:ascii="宋体" w:hAnsi="宋体" w:eastAsia="宋体" w:cs="宋体"/>
          <w:color w:val="auto"/>
          <w:sz w:val="21"/>
          <w:szCs w:val="21"/>
          <w:u w:val="single"/>
          <w:lang w:val="en-US" w:eastAsia="zh-CN"/>
        </w:rPr>
        <w:t xml:space="preserve">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项目总价为（小写）</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元</w:t>
      </w:r>
      <w:r>
        <w:rPr>
          <w:rFonts w:hint="eastAsia" w:ascii="宋体" w:hAnsi="宋体" w:eastAsia="宋体" w:cs="宋体"/>
          <w:color w:val="auto"/>
          <w:sz w:val="21"/>
          <w:szCs w:val="21"/>
        </w:rPr>
        <w:t>，（大写）：</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w:t>
      </w:r>
    </w:p>
    <w:p>
      <w:pPr>
        <w:spacing w:line="360" w:lineRule="auto"/>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增值税税率：[</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w:t>
      </w:r>
      <w:r>
        <w:rPr>
          <w:rFonts w:hint="eastAsia" w:ascii="宋体" w:hAnsi="宋体" w:eastAsia="宋体" w:cs="宋体"/>
          <w:color w:val="auto"/>
          <w:sz w:val="21"/>
          <w:szCs w:val="21"/>
        </w:rPr>
        <w:t>由乙方开具相应的增值税专用发票给甲方。</w:t>
      </w:r>
      <w:r>
        <w:rPr>
          <w:rFonts w:hint="eastAsia" w:ascii="宋体" w:hAnsi="宋体" w:eastAsia="宋体" w:cs="宋体"/>
          <w:color w:val="auto"/>
          <w:kern w:val="0"/>
          <w:sz w:val="21"/>
          <w:szCs w:val="21"/>
        </w:rPr>
        <w:t>其中不含增值税的价款为人民币大写：</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kern w:val="0"/>
          <w:sz w:val="21"/>
          <w:szCs w:val="21"/>
        </w:rPr>
        <w:t>（¥</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kern w:val="0"/>
          <w:sz w:val="21"/>
          <w:szCs w:val="21"/>
        </w:rPr>
        <w:t>），增值税税款为人民币大写：</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kern w:val="0"/>
          <w:sz w:val="21"/>
          <w:szCs w:val="21"/>
        </w:rPr>
        <w:t>（¥</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kern w:val="0"/>
          <w:sz w:val="21"/>
          <w:szCs w:val="21"/>
        </w:rPr>
        <w:t>）。</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（三）维护要求：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1.维护内容：</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5761"/>
        <w:gridCol w:w="1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pct"/>
            <w:noWrap w:val="0"/>
            <w:vAlign w:val="top"/>
          </w:tcPr>
          <w:p>
            <w:pPr>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功能模版</w:t>
            </w:r>
          </w:p>
        </w:tc>
        <w:tc>
          <w:tcPr>
            <w:tcW w:w="3379" w:type="pct"/>
            <w:noWrap w:val="0"/>
            <w:vAlign w:val="top"/>
          </w:tcPr>
          <w:p>
            <w:pPr>
              <w:spacing w:line="360" w:lineRule="auto"/>
              <w:ind w:firstLine="482"/>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详细描述</w:t>
            </w:r>
          </w:p>
        </w:tc>
        <w:tc>
          <w:tcPr>
            <w:tcW w:w="807" w:type="pct"/>
            <w:noWrap w:val="0"/>
            <w:vAlign w:val="top"/>
          </w:tcPr>
          <w:p>
            <w:pPr>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812" w:type="pct"/>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系统维护服务</w:t>
            </w:r>
          </w:p>
        </w:tc>
        <w:tc>
          <w:tcPr>
            <w:tcW w:w="3379" w:type="pct"/>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包括日常管理维护和因功能需求变更产生的软件修改和应用软件升级。以保证系统的稳定运行和适应新业务的开展。</w:t>
            </w:r>
          </w:p>
        </w:tc>
        <w:tc>
          <w:tcPr>
            <w:tcW w:w="807" w:type="pct"/>
            <w:vMerge w:val="restart"/>
            <w:noWrap w:val="0"/>
            <w:vAlign w:val="center"/>
          </w:tcPr>
          <w:p>
            <w:pPr>
              <w:spacing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维护期：2</w:t>
            </w:r>
            <w:r>
              <w:rPr>
                <w:rFonts w:hint="eastAsia" w:ascii="宋体" w:hAnsi="宋体" w:eastAsia="宋体" w:cs="宋体"/>
                <w:color w:val="auto"/>
                <w:kern w:val="2"/>
                <w:sz w:val="21"/>
                <w:szCs w:val="21"/>
                <w:highlight w:val="none"/>
                <w:lang w:val="en-US" w:eastAsia="zh-CN" w:bidi="ar-SA"/>
              </w:rPr>
              <w:t>合同签订生效之日起至</w:t>
            </w:r>
            <w:r>
              <w:rPr>
                <w:rFonts w:hint="eastAsia" w:ascii="宋体" w:hAnsi="宋体" w:eastAsia="宋体" w:cs="宋体"/>
                <w:color w:val="auto"/>
                <w:kern w:val="0"/>
                <w:sz w:val="21"/>
                <w:szCs w:val="21"/>
                <w:lang w:val="en-US" w:eastAsia="zh-CN" w:bidi="ar-SA"/>
              </w:rPr>
              <w:t>2024年7月15日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812" w:type="pct"/>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收发文流程以及事务流程维护</w:t>
            </w:r>
          </w:p>
        </w:tc>
        <w:tc>
          <w:tcPr>
            <w:tcW w:w="3379" w:type="pct"/>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根据公司实际使用需求，配置流程以及流程审批表单。</w:t>
            </w:r>
          </w:p>
        </w:tc>
        <w:tc>
          <w:tcPr>
            <w:tcW w:w="807" w:type="pct"/>
            <w:vMerge w:val="continue"/>
            <w:noWrap w:val="0"/>
            <w:vAlign w:val="center"/>
          </w:tcPr>
          <w:p>
            <w:pPr>
              <w:spacing w:line="360" w:lineRule="auto"/>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812" w:type="pct"/>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重大节日</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活动巡检</w:t>
            </w:r>
            <w:r>
              <w:rPr>
                <w:rFonts w:hint="eastAsia" w:ascii="宋体" w:hAnsi="宋体" w:eastAsia="宋体" w:cs="宋体"/>
                <w:color w:val="auto"/>
                <w:sz w:val="21"/>
                <w:szCs w:val="21"/>
                <w:lang w:val="en-US" w:eastAsia="zh-CN"/>
              </w:rPr>
              <w:t>以及值守</w:t>
            </w:r>
          </w:p>
        </w:tc>
        <w:tc>
          <w:tcPr>
            <w:tcW w:w="3379" w:type="pct"/>
            <w:noWrap w:val="0"/>
            <w:vAlign w:val="center"/>
          </w:tcPr>
          <w:p>
            <w:pPr>
              <w:spacing w:line="360" w:lineRule="auto"/>
              <w:jc w:val="left"/>
              <w:rPr>
                <w:rFonts w:hint="eastAsia" w:ascii="宋体" w:hAnsi="宋体" w:eastAsia="宋体" w:cs="宋体"/>
                <w:color w:val="auto"/>
                <w:sz w:val="21"/>
                <w:szCs w:val="21"/>
                <w:lang w:val="en-US"/>
              </w:rPr>
            </w:pPr>
            <w:r>
              <w:rPr>
                <w:rFonts w:hint="eastAsia" w:ascii="宋体" w:hAnsi="宋体" w:eastAsia="宋体" w:cs="宋体"/>
                <w:color w:val="auto"/>
                <w:sz w:val="21"/>
                <w:szCs w:val="21"/>
              </w:rPr>
              <w:t>在重大节假日以及相关大型活动前，系统运维公司需要对系统进行</w:t>
            </w:r>
            <w:r>
              <w:rPr>
                <w:rFonts w:hint="eastAsia" w:ascii="宋体" w:hAnsi="宋体" w:eastAsia="宋体" w:cs="宋体"/>
                <w:color w:val="auto"/>
                <w:sz w:val="21"/>
                <w:szCs w:val="21"/>
                <w:lang w:val="en-US" w:eastAsia="zh-CN"/>
              </w:rPr>
              <w:t>网络安全防护、系统漏洞扫描、系统性能监控、应急预案制定以及安排人员值班。</w:t>
            </w:r>
          </w:p>
        </w:tc>
        <w:tc>
          <w:tcPr>
            <w:tcW w:w="807" w:type="pct"/>
            <w:vMerge w:val="continue"/>
            <w:noWrap w:val="0"/>
            <w:vAlign w:val="center"/>
          </w:tcPr>
          <w:p>
            <w:pPr>
              <w:spacing w:line="360" w:lineRule="auto"/>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812" w:type="pct"/>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性能维护</w:t>
            </w:r>
          </w:p>
        </w:tc>
        <w:tc>
          <w:tcPr>
            <w:tcW w:w="3379" w:type="pct"/>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分析获取的系统性能数据，包括各数据库表情况，并提出建设性的建议。</w:t>
            </w:r>
          </w:p>
        </w:tc>
        <w:tc>
          <w:tcPr>
            <w:tcW w:w="807" w:type="pct"/>
            <w:vMerge w:val="continue"/>
            <w:noWrap w:val="0"/>
            <w:vAlign w:val="center"/>
          </w:tcPr>
          <w:p>
            <w:pPr>
              <w:spacing w:line="360" w:lineRule="auto"/>
              <w:ind w:firstLine="480"/>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pct"/>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数据表维护</w:t>
            </w:r>
          </w:p>
        </w:tc>
        <w:tc>
          <w:tcPr>
            <w:tcW w:w="3379" w:type="pct"/>
            <w:noWrap w:val="0"/>
            <w:vAlign w:val="center"/>
          </w:tcPr>
          <w:p>
            <w:pPr>
              <w:spacing w:line="360" w:lineRule="auto"/>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业务处理对数据的需求是不断发生变化的，除了系统中主体业务数据的定期正常更新外，还有许多数据需要进行不定期的更新，或随环境或业务的变化而进行调整，以及数据内容的增加、数据结构的调整。此外，数据的备份与恢复等，都是数据维护的工作内容</w:t>
            </w:r>
            <w:r>
              <w:rPr>
                <w:rFonts w:hint="eastAsia" w:ascii="宋体" w:hAnsi="宋体" w:eastAsia="宋体" w:cs="宋体"/>
                <w:color w:val="auto"/>
                <w:sz w:val="21"/>
                <w:szCs w:val="21"/>
                <w:lang w:eastAsia="zh-CN"/>
              </w:rPr>
              <w:t>。</w:t>
            </w:r>
          </w:p>
        </w:tc>
        <w:tc>
          <w:tcPr>
            <w:tcW w:w="807" w:type="pct"/>
            <w:vMerge w:val="continue"/>
            <w:noWrap w:val="0"/>
            <w:vAlign w:val="center"/>
          </w:tcPr>
          <w:p>
            <w:pPr>
              <w:spacing w:line="360" w:lineRule="auto"/>
              <w:ind w:firstLine="480"/>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pct"/>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系统巡检</w:t>
            </w:r>
          </w:p>
        </w:tc>
        <w:tc>
          <w:tcPr>
            <w:tcW w:w="3379" w:type="pct"/>
            <w:noWrap w:val="0"/>
            <w:vAlign w:val="center"/>
          </w:tcPr>
          <w:p>
            <w:pPr>
              <w:spacing w:line="360" w:lineRule="auto"/>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在维护期内，每月进行一次检查</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确保系统运行正常</w:t>
            </w:r>
            <w:r>
              <w:rPr>
                <w:rFonts w:hint="eastAsia" w:ascii="宋体" w:hAnsi="宋体" w:eastAsia="宋体" w:cs="宋体"/>
                <w:color w:val="auto"/>
                <w:sz w:val="21"/>
                <w:szCs w:val="21"/>
              </w:rPr>
              <w:t>。每季度进行一次检查，每季度出一次检查报告，具体内容包括检查硬盘空间（特别是C盘空间是否充足）、网速如何、杀毒软件更新情况、备份文件是否正常，检查程序目录是否正常，检查数据库基本数据是否正常；详细记录下现在服务器运转的状态等情况</w:t>
            </w:r>
            <w:r>
              <w:rPr>
                <w:rFonts w:hint="eastAsia" w:ascii="宋体" w:hAnsi="宋体" w:eastAsia="宋体" w:cs="宋体"/>
                <w:color w:val="auto"/>
                <w:sz w:val="21"/>
                <w:szCs w:val="21"/>
                <w:lang w:eastAsia="zh-CN"/>
              </w:rPr>
              <w:t>。</w:t>
            </w:r>
          </w:p>
        </w:tc>
        <w:tc>
          <w:tcPr>
            <w:tcW w:w="807" w:type="pct"/>
            <w:vMerge w:val="continue"/>
            <w:noWrap w:val="0"/>
            <w:vAlign w:val="center"/>
          </w:tcPr>
          <w:p>
            <w:pPr>
              <w:spacing w:line="360" w:lineRule="auto"/>
              <w:ind w:firstLine="480"/>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pct"/>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组织架构调整以及用户数增加</w:t>
            </w:r>
          </w:p>
        </w:tc>
        <w:tc>
          <w:tcPr>
            <w:tcW w:w="3379" w:type="pct"/>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对于最终用户需要组织架构调整的，进行配合调整以及修改，同时按最终用户要求增加想关系统用户数。</w:t>
            </w:r>
          </w:p>
        </w:tc>
        <w:tc>
          <w:tcPr>
            <w:tcW w:w="807" w:type="pct"/>
            <w:vMerge w:val="continue"/>
            <w:noWrap w:val="0"/>
            <w:vAlign w:val="center"/>
          </w:tcPr>
          <w:p>
            <w:pPr>
              <w:spacing w:line="360" w:lineRule="auto"/>
              <w:ind w:firstLine="480"/>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812" w:type="pct"/>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提供7×</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的服务（每周7天，每天12小时）</w:t>
            </w:r>
          </w:p>
        </w:tc>
        <w:tc>
          <w:tcPr>
            <w:tcW w:w="3379" w:type="pct"/>
            <w:noWrap w:val="0"/>
            <w:vAlign w:val="center"/>
          </w:tcPr>
          <w:p>
            <w:pPr>
              <w:spacing w:line="36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对影响系统正常工作、造成业务工作停业的严重故障，在接到重大故障通知后30分钟内响应，24小时内修复（如不能排除，将采用备用方案使系统能够使用），对于一般故障，在4小时内修复。</w:t>
            </w:r>
          </w:p>
          <w:p>
            <w:pPr>
              <w:pStyle w:val="2"/>
              <w:spacing w:line="360" w:lineRule="auto"/>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kern w:val="2"/>
                <w:sz w:val="21"/>
                <w:szCs w:val="21"/>
                <w:lang w:val="en-US" w:eastAsia="zh-CN" w:bidi="ar-SA"/>
              </w:rPr>
              <w:t>提供上门服务，对于采购人要求提供上门进行系统处理服务的，需要在2小时内安排工程师进行上门服务。</w:t>
            </w:r>
          </w:p>
        </w:tc>
        <w:tc>
          <w:tcPr>
            <w:tcW w:w="807" w:type="pct"/>
            <w:vMerge w:val="continue"/>
            <w:noWrap w:val="0"/>
            <w:vAlign w:val="center"/>
          </w:tcPr>
          <w:p>
            <w:pPr>
              <w:spacing w:line="360" w:lineRule="auto"/>
              <w:jc w:val="left"/>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812" w:type="pct"/>
            <w:noWrap w:val="0"/>
            <w:vAlign w:val="center"/>
          </w:tcPr>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云主机</w:t>
            </w:r>
          </w:p>
        </w:tc>
        <w:tc>
          <w:tcPr>
            <w:tcW w:w="3379" w:type="pct"/>
            <w:noWrap w:val="0"/>
            <w:vAlign w:val="center"/>
          </w:tcPr>
          <w:p>
            <w:pPr>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云主机配置：CPU：4核；内存：8G；系统盘：40G；数据盘：500G SAS</w:t>
            </w:r>
          </w:p>
          <w:p>
            <w:pPr>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宽带：2Mbs共享宽带；安全：防火墙；操作系统：windows操作系统。</w:t>
            </w:r>
          </w:p>
          <w:p>
            <w:pPr>
              <w:spacing w:line="36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kern w:val="2"/>
                <w:sz w:val="21"/>
                <w:szCs w:val="21"/>
                <w:lang w:val="en-US" w:eastAsia="zh-CN" w:bidi="ar-SA"/>
              </w:rPr>
              <w:t>云主机续费确保在项目维护期(合同签订之日起至 2024 年7月15日)内正常使用</w:t>
            </w:r>
          </w:p>
        </w:tc>
        <w:tc>
          <w:tcPr>
            <w:tcW w:w="807" w:type="pct"/>
            <w:noWrap w:val="0"/>
            <w:vAlign w:val="center"/>
          </w:tcPr>
          <w:p>
            <w:pPr>
              <w:spacing w:line="360" w:lineRule="auto"/>
              <w:jc w:val="left"/>
              <w:rPr>
                <w:rFonts w:hint="eastAsia" w:ascii="宋体" w:hAnsi="宋体" w:eastAsia="宋体" w:cs="宋体"/>
                <w:color w:val="auto"/>
                <w:sz w:val="21"/>
                <w:szCs w:val="21"/>
                <w:lang w:val="en-US" w:eastAsia="zh-CN"/>
              </w:rPr>
            </w:pPr>
          </w:p>
        </w:tc>
      </w:tr>
    </w:tbl>
    <w:p>
      <w:pPr>
        <w:pStyle w:val="2"/>
        <w:rPr>
          <w:rFonts w:hint="eastAsia" w:ascii="宋体" w:hAnsi="宋体" w:eastAsia="宋体" w:cs="宋体"/>
          <w:color w:val="auto"/>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（四）项目要求：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本次的维保服务范围包含OA办公系统、数据库、服务器和数据备份等业务的应用优化、巡检和故障排查及处理、应急协助和相关技术服务等软硬件的运行状况开展专业的维护服务，具体的维保服务包括：</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1.OA办公系统巡检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OA办公系统版本信息：程序安装路径、数据库文件路径、WEB端程序版本、客户端服务器版本、客户端版本、安卓客户端版本和iPhone客户端版本等信息登记，并提供相关信息登记表；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控件支持：提供OA控件包、IE设置控件包、office控件包及后续更新；</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系统维护：提供软件故障排除、软件系统升级、优化、软件测试、软件故障处理等工作。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2.服务器巡检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服务器基本信息：操作系统版本信息，内外网IP地址信息，数据库类型及版本信息，IIS、AppServer、IMServer及OA办公系统版本信息，并提供相关信息登记表</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服务器运行状况：CPU处理器的使用率平均值、物理内存大小占用率和各磁盘空间大小使用情况是否在正常范围内</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系统安全：开机启动项是否符合要求（AxSms短信平台、手机端服务器、短信接口、AppServer、CEB转换程序）、系统事件无严重错误、杀毒软件和防护墙是否正常运行、系统病毒检测结构是否正常、设定定时自动锁定服务器等，并提供相关信息登记表（包括数据值、参考值和结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处理服务器的关键漏洞补丁的修复及调试，并提供相关修复报告。</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3.应用程序运行巡检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网页端、客户端、手机客户端及其他OA相关服务程序运行是否正常，并提供相关信息登记表（包括数据值、参考值和结论）</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IIS各站点能正常访问无报错，每月运行IIS日志文件删除软件，进行日志文件的清理；AppServer界面信息正常、客户端能正常登陆；IMServer显示在线连接的用户名和时间；短信平台界面无报错，能正常发送短信，平台能显示发送情况；CEB转CEBX程序文件转换服务器能正常转换文件，界面无报错，手写批注正常；同步程序能正常同步机构、部门、用户，无报错；ClearFiles软件定期删除，或者手动定期删除Tempfiles里的缓存文件；远程控制软件是否正常，需要关闭远程桌面，如特殊情况要开启，必须修改远程桌面端口</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4.数据库备份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数据库备份方式：采用完整备份，并做好数据库最后一次备份时间的登记</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数据库备份空间：确保数据库备份所在的磁盘容量是否有足够的空间</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数据库备份计划：提供数据库每天全库备份并校对，保留最近10天的备份，保障数据的安全</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处理数据库的关键漏洞补丁的修复及调试，并提供相关修复报告。</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以上各项服务提供相关信息登记表（包括数据值、参考值和结论）、故障处理工单，并输出季度《项目运维巡检结果报告》和《项目运维服务年报》。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5.响应时间：提供7×12的服务（每周7天，每天12小时）。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6.维护服务方式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远程维护：远程维护工程师通过远程拨号，登录到需求方当地进行的维护。</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外派人员到现场：派技术人员到需求方当地解决技术问题。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（五）考核要求：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乙方须向最终用户提供不少于4次的OA系统巡检，并通过出具书面（电子）报告及客户意见调查的形式反馈实施情况及服务评价。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1.报告内容要求包括但不限于以下几项：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（1）巡检结果。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（2）服务器相关信息（包括但不限于操作系统信息、网络连接信息、系统资源信息、内存使用降序信息、系统事件信息、硬件空间、数据库备份文件存放地址及其文件、数据库版本、数据库安装位置、IIS 结构、IIS 安装路径、杀毒软件、开启 window 防火墙信息）。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OA系统服务器端相关信息（包括但不限于服务器端基本信息、升级设置-数据库情况、升级设置-客户端情况、安装目录信息、启动项信息）</w:t>
      </w:r>
      <w:r>
        <w:rPr>
          <w:rFonts w:hint="eastAsia" w:ascii="宋体" w:hAnsi="宋体" w:eastAsia="宋体" w:cs="宋体"/>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OA系统客户端信息（包括但不限于客户端版本信息、登陆界面信息、登陆后界面信息）</w:t>
      </w:r>
      <w:r>
        <w:rPr>
          <w:rFonts w:hint="eastAsia" w:ascii="宋体" w:hAnsi="宋体" w:eastAsia="宋体" w:cs="宋体"/>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WEB端信息（包括但不限于WEB 程序版本信息、登陆界面信息、下载列表信息、桌面信息、功能菜单信息、系统设置信息、收文流程设置信息、发文流程设置信息、机构部门信息、用户管理信息）</w:t>
      </w:r>
      <w:r>
        <w:rPr>
          <w:rFonts w:hint="eastAsia" w:ascii="宋体" w:hAnsi="宋体" w:eastAsia="宋体" w:cs="宋体"/>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移动端相关信息（包括但不限于IMSERVER 运行情况、安装目录信息）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定期删除 IIS 日志任务计划情况</w:t>
      </w:r>
      <w:r>
        <w:rPr>
          <w:rFonts w:hint="eastAsia" w:ascii="宋体" w:hAnsi="宋体" w:eastAsia="宋体" w:cs="宋体"/>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数据库异机备份情况</w:t>
      </w:r>
      <w:r>
        <w:rPr>
          <w:rFonts w:hint="eastAsia" w:ascii="宋体" w:hAnsi="宋体" w:eastAsia="宋体" w:cs="宋体"/>
          <w:color w:val="auto"/>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2.客户意见调查要求包括但不限于以下几项：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（1）巡检人员的意见和建议。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（2）对巡检服务及异常处理结果的评价。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（3）巡检项目是否满足要求。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mallCaps/>
          <w:color w:val="auto"/>
          <w:kern w:val="2"/>
          <w:sz w:val="21"/>
          <w:szCs w:val="21"/>
          <w:lang w:val="en-US" w:eastAsia="zh-CN" w:bidi="ar-SA"/>
        </w:rPr>
      </w:pPr>
      <w:r>
        <w:rPr>
          <w:rFonts w:hint="eastAsia" w:ascii="宋体" w:hAnsi="宋体" w:eastAsia="宋体" w:cs="宋体"/>
          <w:color w:val="auto"/>
          <w:sz w:val="21"/>
          <w:szCs w:val="21"/>
          <w:lang w:val="en-US" w:eastAsia="zh-CN"/>
        </w:rPr>
        <w:t>（4）巡检人员针对客户所提出的疑问解答结果的评价。</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第二条 </w:t>
      </w:r>
      <w:r>
        <w:rPr>
          <w:rFonts w:hint="eastAsia" w:ascii="宋体" w:hAnsi="宋体" w:eastAsia="宋体" w:cs="宋体"/>
          <w:b/>
          <w:bCs/>
          <w:color w:val="auto"/>
          <w:sz w:val="21"/>
          <w:szCs w:val="21"/>
          <w:lang w:val="en-US" w:eastAsia="zh-CN"/>
        </w:rPr>
        <w:t xml:space="preserve"> </w:t>
      </w:r>
      <w:r>
        <w:rPr>
          <w:rFonts w:hint="eastAsia" w:ascii="宋体" w:hAnsi="宋体" w:eastAsia="宋体" w:cs="宋体"/>
          <w:b/>
          <w:bCs/>
          <w:color w:val="auto"/>
          <w:sz w:val="21"/>
          <w:szCs w:val="21"/>
        </w:rPr>
        <w:t>费用的结算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具体结算方式：费用分两次支付，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第一次：合同签订生效后，在甲方收到乙方提供6%服务增值税专用发票的20个工作日内，甲方将合同总金额的</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0%支付给乙方。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第二次：整个项目验收合格后</w:t>
      </w:r>
      <w:r>
        <w:rPr>
          <w:rFonts w:hint="eastAsia" w:ascii="宋体" w:hAnsi="宋体" w:eastAsia="宋体" w:cs="宋体"/>
          <w:color w:val="auto"/>
          <w:sz w:val="21"/>
          <w:szCs w:val="21"/>
          <w:lang w:val="en-US" w:eastAsia="zh-CN"/>
        </w:rPr>
        <w:t>并经考核合格后</w:t>
      </w:r>
      <w:r>
        <w:rPr>
          <w:rFonts w:hint="eastAsia" w:ascii="宋体" w:hAnsi="宋体" w:eastAsia="宋体" w:cs="宋体"/>
          <w:color w:val="auto"/>
          <w:sz w:val="21"/>
          <w:szCs w:val="21"/>
        </w:rPr>
        <w:t>，在甲方收到乙方提供6%服务增值税专用发票的20个工作日内，甲方将合同总金额的</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0%支付给乙方。</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第三条 </w:t>
      </w:r>
      <w:r>
        <w:rPr>
          <w:rFonts w:hint="eastAsia" w:ascii="宋体" w:hAnsi="宋体" w:eastAsia="宋体" w:cs="宋体"/>
          <w:b/>
          <w:bCs/>
          <w:color w:val="auto"/>
          <w:sz w:val="21"/>
          <w:szCs w:val="21"/>
          <w:lang w:val="en-US" w:eastAsia="zh-CN"/>
        </w:rPr>
        <w:t xml:space="preserve"> </w:t>
      </w:r>
      <w:r>
        <w:rPr>
          <w:rFonts w:hint="eastAsia" w:ascii="宋体" w:hAnsi="宋体" w:eastAsia="宋体" w:cs="宋体"/>
          <w:b/>
          <w:bCs/>
          <w:color w:val="auto"/>
          <w:sz w:val="21"/>
          <w:szCs w:val="21"/>
        </w:rPr>
        <w:t>服务有效期：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kern w:val="2"/>
          <w:sz w:val="21"/>
          <w:szCs w:val="21"/>
          <w:highlight w:val="none"/>
          <w:lang w:val="en-US" w:eastAsia="zh-CN" w:bidi="ar-SA"/>
        </w:rPr>
        <w:t>合同签订生效之日起至2024年7月15日。</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第四条</w:t>
      </w:r>
      <w:r>
        <w:rPr>
          <w:rFonts w:hint="eastAsia" w:ascii="宋体" w:hAnsi="宋体" w:eastAsia="宋体" w:cs="宋体"/>
          <w:b/>
          <w:bCs/>
          <w:color w:val="auto"/>
          <w:sz w:val="21"/>
          <w:szCs w:val="21"/>
          <w:lang w:val="en-US" w:eastAsia="zh-CN"/>
        </w:rPr>
        <w:t xml:space="preserve"> </w:t>
      </w:r>
      <w:r>
        <w:rPr>
          <w:rFonts w:hint="eastAsia" w:ascii="宋体" w:hAnsi="宋体" w:eastAsia="宋体" w:cs="宋体"/>
          <w:b/>
          <w:bCs/>
          <w:color w:val="auto"/>
          <w:sz w:val="21"/>
          <w:szCs w:val="21"/>
        </w:rPr>
        <w:t xml:space="preserve"> 合同生效</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（一）合同生效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本合同经甲方，乙方，法定代表人或授权人签字盖章生效。</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（二）合同修改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除非由双方签订书面修改文件，否则合同不得修改。符合这一程序的修改将构成合同的一部分，并将与合同具有同等的法律效力。</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第五条 </w:t>
      </w:r>
      <w:r>
        <w:rPr>
          <w:rFonts w:hint="eastAsia" w:ascii="宋体" w:hAnsi="宋体" w:eastAsia="宋体" w:cs="宋体"/>
          <w:b/>
          <w:bCs/>
          <w:color w:val="auto"/>
          <w:sz w:val="21"/>
          <w:szCs w:val="21"/>
          <w:lang w:val="en-US" w:eastAsia="zh-CN"/>
        </w:rPr>
        <w:t xml:space="preserve"> </w:t>
      </w:r>
      <w:r>
        <w:rPr>
          <w:rFonts w:hint="eastAsia" w:ascii="宋体" w:hAnsi="宋体" w:eastAsia="宋体" w:cs="宋体"/>
          <w:b/>
          <w:bCs/>
          <w:color w:val="auto"/>
          <w:sz w:val="21"/>
          <w:szCs w:val="21"/>
        </w:rPr>
        <w:t>甲方责任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（一）甲方负责向乙方提供本服务所需资料（图片、文字等），并保证所提供资料的按时性和准确性。</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（二）项目服务期间，甲方负责向乙方提出参考意见或修改意见。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（三）甲方应按照合同规定时间内支付</w:t>
      </w:r>
      <w:r>
        <w:rPr>
          <w:rFonts w:hint="eastAsia" w:ascii="宋体" w:hAnsi="宋体" w:eastAsia="宋体" w:cs="宋体"/>
          <w:color w:val="auto"/>
          <w:sz w:val="21"/>
          <w:szCs w:val="21"/>
          <w:lang w:val="en-US" w:eastAsia="zh-CN"/>
        </w:rPr>
        <w:t>相关</w:t>
      </w:r>
      <w:r>
        <w:rPr>
          <w:rFonts w:hint="eastAsia" w:ascii="宋体" w:hAnsi="宋体" w:eastAsia="宋体" w:cs="宋体"/>
          <w:color w:val="auto"/>
          <w:sz w:val="21"/>
          <w:szCs w:val="21"/>
        </w:rPr>
        <w:t>款</w:t>
      </w:r>
      <w:r>
        <w:rPr>
          <w:rFonts w:hint="eastAsia" w:ascii="宋体" w:hAnsi="宋体" w:eastAsia="宋体" w:cs="宋体"/>
          <w:color w:val="auto"/>
          <w:sz w:val="21"/>
          <w:szCs w:val="21"/>
          <w:lang w:val="en-US" w:eastAsia="zh-CN"/>
        </w:rPr>
        <w:t>项</w:t>
      </w:r>
      <w:r>
        <w:rPr>
          <w:rFonts w:hint="eastAsia" w:ascii="宋体" w:hAnsi="宋体" w:eastAsia="宋体" w:cs="宋体"/>
          <w:color w:val="auto"/>
          <w:sz w:val="21"/>
          <w:szCs w:val="21"/>
        </w:rPr>
        <w:t>。</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第六条</w:t>
      </w:r>
      <w:r>
        <w:rPr>
          <w:rFonts w:hint="eastAsia" w:ascii="宋体" w:hAnsi="宋体" w:eastAsia="宋体" w:cs="宋体"/>
          <w:b/>
          <w:bCs/>
          <w:color w:val="auto"/>
          <w:sz w:val="21"/>
          <w:szCs w:val="21"/>
          <w:lang w:val="en-US" w:eastAsia="zh-CN"/>
        </w:rPr>
        <w:t xml:space="preserve"> </w:t>
      </w:r>
      <w:r>
        <w:rPr>
          <w:rFonts w:hint="eastAsia" w:ascii="宋体" w:hAnsi="宋体" w:eastAsia="宋体" w:cs="宋体"/>
          <w:b/>
          <w:bCs/>
          <w:color w:val="auto"/>
          <w:sz w:val="21"/>
          <w:szCs w:val="21"/>
        </w:rPr>
        <w:t xml:space="preserve"> 乙方责任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（一）乙方负责成立项目服务小组</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（二）乙方需按合同所规定服务期限完成</w:t>
      </w:r>
      <w:r>
        <w:rPr>
          <w:rFonts w:hint="eastAsia" w:ascii="宋体" w:hAnsi="宋体" w:eastAsia="宋体" w:cs="宋体"/>
          <w:color w:val="auto"/>
          <w:sz w:val="21"/>
          <w:szCs w:val="21"/>
          <w:lang w:val="en-US" w:eastAsia="zh-CN"/>
        </w:rPr>
        <w:t>此项目。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（三）项目服务期间，乙方负责听取并研究甲方相关意见。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（四）项目服务期间，若甲方提出异议，经甲乙双方友好协商后，乙方可进行修改。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五）本合同项下一切费用均使用人民币结算及支付。甲方在取得乙方发票后向乙方支付合同对应款项。甲乙双方对有关商业发票、结算票据一致认同：甲方取得发票不代表甲方款项已付清，款项已付清以甲方款项全部到达乙方开户账户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（六）本合同签订后，若有新增的技术服务或开发需求，须另行签订合同。</w:t>
      </w:r>
    </w:p>
    <w:p>
      <w:pPr>
        <w:spacing w:line="360" w:lineRule="auto"/>
        <w:rPr>
          <w:rFonts w:hint="eastAsia" w:ascii="宋体" w:hAnsi="宋体" w:eastAsia="宋体" w:cs="宋体"/>
          <w:color w:val="auto"/>
          <w:sz w:val="21"/>
          <w:szCs w:val="21"/>
        </w:rPr>
      </w:pPr>
      <w:r>
        <w:rPr>
          <w:rFonts w:hint="eastAsia" w:ascii="宋体" w:hAnsi="宋体" w:eastAsia="宋体" w:cs="宋体"/>
          <w:b/>
          <w:bCs/>
          <w:color w:val="auto"/>
          <w:sz w:val="21"/>
          <w:szCs w:val="21"/>
        </w:rPr>
        <w:t>第</w:t>
      </w:r>
      <w:r>
        <w:rPr>
          <w:rFonts w:hint="eastAsia" w:ascii="宋体" w:hAnsi="宋体" w:eastAsia="宋体" w:cs="宋体"/>
          <w:b/>
          <w:bCs/>
          <w:color w:val="auto"/>
          <w:sz w:val="21"/>
          <w:szCs w:val="21"/>
          <w:lang w:val="en-US" w:eastAsia="zh-CN"/>
        </w:rPr>
        <w:t>七</w:t>
      </w:r>
      <w:r>
        <w:rPr>
          <w:rFonts w:hint="eastAsia" w:ascii="宋体" w:hAnsi="宋体" w:eastAsia="宋体" w:cs="宋体"/>
          <w:b/>
          <w:bCs/>
          <w:color w:val="auto"/>
          <w:sz w:val="21"/>
          <w:szCs w:val="21"/>
        </w:rPr>
        <w:t xml:space="preserve">条 </w:t>
      </w:r>
      <w:r>
        <w:rPr>
          <w:rFonts w:hint="eastAsia" w:ascii="宋体" w:hAnsi="宋体" w:eastAsia="宋体" w:cs="宋体"/>
          <w:b/>
          <w:bCs/>
          <w:color w:val="auto"/>
          <w:sz w:val="21"/>
          <w:szCs w:val="21"/>
          <w:lang w:val="en-US" w:eastAsia="zh-CN"/>
        </w:rPr>
        <w:t xml:space="preserve"> </w:t>
      </w:r>
      <w:r>
        <w:rPr>
          <w:rFonts w:hint="eastAsia" w:ascii="宋体" w:hAnsi="宋体" w:eastAsia="宋体" w:cs="宋体"/>
          <w:b/>
          <w:bCs/>
          <w:color w:val="auto"/>
          <w:sz w:val="21"/>
          <w:szCs w:val="21"/>
        </w:rPr>
        <w:t>项目服务验收</w:t>
      </w:r>
    </w:p>
    <w:p>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（一）验收方法:服务期结束后，经测试合格并提交相应测试报告，由甲方、乙方共同签字验收。</w:t>
      </w:r>
    </w:p>
    <w:p>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（二）验收标准:符合项目服务清单的要求。</w:t>
      </w:r>
    </w:p>
    <w:p>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（三）验收合格条件:</w:t>
      </w:r>
    </w:p>
    <w:p>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1.乙方已完成本项目软件的运维服务;</w:t>
      </w:r>
    </w:p>
    <w:p>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2.服务期间，系统功能、性能满足本项目建设清单的要求</w:t>
      </w:r>
    </w:p>
    <w:p>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3.服务期间出现的问题已被解决至符合项目要求;X</w:t>
      </w:r>
    </w:p>
    <w:p>
      <w:pPr>
        <w:spacing w:line="360" w:lineRule="auto"/>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rPr>
        <w:t>第</w:t>
      </w:r>
      <w:r>
        <w:rPr>
          <w:rFonts w:hint="eastAsia" w:ascii="宋体" w:hAnsi="宋体" w:eastAsia="宋体" w:cs="宋体"/>
          <w:b/>
          <w:bCs/>
          <w:color w:val="auto"/>
          <w:sz w:val="21"/>
          <w:szCs w:val="21"/>
          <w:lang w:val="en-US" w:eastAsia="zh-CN"/>
        </w:rPr>
        <w:t>八</w:t>
      </w:r>
      <w:r>
        <w:rPr>
          <w:rFonts w:hint="eastAsia" w:ascii="宋体" w:hAnsi="宋体" w:eastAsia="宋体" w:cs="宋体"/>
          <w:b/>
          <w:bCs/>
          <w:color w:val="auto"/>
          <w:sz w:val="21"/>
          <w:szCs w:val="21"/>
        </w:rPr>
        <w:t xml:space="preserve">条  </w:t>
      </w:r>
      <w:r>
        <w:rPr>
          <w:rFonts w:hint="eastAsia" w:ascii="宋体" w:hAnsi="宋体" w:eastAsia="宋体" w:cs="宋体"/>
          <w:b/>
          <w:bCs/>
          <w:color w:val="auto"/>
          <w:sz w:val="21"/>
          <w:szCs w:val="21"/>
          <w:lang w:eastAsia="zh-CN"/>
        </w:rPr>
        <w:t>项目的服务要求</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甲方如果发现服务不合规定的，应在三十</w:t>
      </w:r>
      <w:r>
        <w:rPr>
          <w:rFonts w:hint="eastAsia" w:ascii="宋体" w:hAnsi="宋体" w:eastAsia="宋体" w:cs="宋体"/>
          <w:color w:val="auto"/>
          <w:sz w:val="21"/>
          <w:szCs w:val="21"/>
          <w:lang w:eastAsia="zh-CN"/>
        </w:rPr>
        <w:t>个日历日</w:t>
      </w:r>
      <w:r>
        <w:rPr>
          <w:rFonts w:hint="eastAsia" w:ascii="宋体" w:hAnsi="宋体" w:eastAsia="宋体" w:cs="宋体"/>
          <w:color w:val="auto"/>
          <w:sz w:val="21"/>
          <w:szCs w:val="21"/>
        </w:rPr>
        <w:t>内向乙方提出书面异议。</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乙方在接到甲方书面异议后，应在十</w:t>
      </w:r>
      <w:r>
        <w:rPr>
          <w:rFonts w:hint="eastAsia" w:ascii="宋体" w:hAnsi="宋体" w:eastAsia="宋体" w:cs="宋体"/>
          <w:color w:val="auto"/>
          <w:sz w:val="21"/>
          <w:szCs w:val="21"/>
          <w:lang w:eastAsia="zh-CN"/>
        </w:rPr>
        <w:t>个日历日</w:t>
      </w:r>
      <w:r>
        <w:rPr>
          <w:rFonts w:hint="eastAsia" w:ascii="宋体" w:hAnsi="宋体" w:eastAsia="宋体" w:cs="宋体"/>
          <w:color w:val="auto"/>
          <w:sz w:val="21"/>
          <w:szCs w:val="21"/>
        </w:rPr>
        <w:t>内处理完毕，并经甲方书面确认，否则，视为乙方承认该服务存在甲方所指出的问题并同意甲方提出的处理意见，乙方按照甲方的处理意见完成后再向甲方申请验收，经甲方确认才视为验收合格。</w:t>
      </w:r>
    </w:p>
    <w:p>
      <w:pPr>
        <w:numPr>
          <w:ilvl w:val="0"/>
          <w:numId w:val="2"/>
        </w:numPr>
        <w:spacing w:line="360"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乙方提供的相关产品质量应符合国家标准</w:t>
      </w:r>
      <w:r>
        <w:rPr>
          <w:rFonts w:hint="eastAsia" w:ascii="宋体" w:hAnsi="宋体" w:eastAsia="宋体" w:cs="宋体"/>
          <w:color w:val="auto"/>
          <w:sz w:val="21"/>
          <w:szCs w:val="21"/>
          <w:lang w:eastAsia="zh-CN"/>
        </w:rPr>
        <w:t>。</w:t>
      </w:r>
    </w:p>
    <w:p>
      <w:pPr>
        <w:numPr>
          <w:ilvl w:val="0"/>
          <w:numId w:val="2"/>
        </w:numPr>
        <w:spacing w:line="360"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乙方负责培训甲方的使用人员，</w:t>
      </w:r>
      <w:r>
        <w:rPr>
          <w:rFonts w:hint="eastAsia" w:ascii="宋体" w:hAnsi="宋体" w:eastAsia="宋体" w:cs="宋体"/>
          <w:color w:val="auto"/>
          <w:sz w:val="21"/>
          <w:szCs w:val="21"/>
          <w:lang w:val="en-US" w:eastAsia="zh-CN"/>
        </w:rPr>
        <w:t>使其</w:t>
      </w:r>
      <w:r>
        <w:rPr>
          <w:rFonts w:hint="eastAsia" w:ascii="宋体" w:hAnsi="宋体" w:eastAsia="宋体" w:cs="宋体"/>
          <w:color w:val="auto"/>
          <w:sz w:val="21"/>
          <w:szCs w:val="21"/>
        </w:rPr>
        <w:t>完全掌握产品的操作和日常维护</w:t>
      </w:r>
      <w:r>
        <w:rPr>
          <w:rFonts w:hint="eastAsia" w:ascii="宋体" w:hAnsi="宋体" w:eastAsia="宋体" w:cs="宋体"/>
          <w:color w:val="auto"/>
          <w:sz w:val="21"/>
          <w:szCs w:val="21"/>
          <w:lang w:eastAsia="zh-CN"/>
        </w:rPr>
        <w:t>。</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w:t>
      </w:r>
      <w:r>
        <w:rPr>
          <w:rFonts w:hint="eastAsia" w:ascii="宋体" w:hAnsi="宋体" w:eastAsia="宋体" w:cs="宋体"/>
          <w:b/>
          <w:bCs/>
          <w:color w:val="auto"/>
          <w:sz w:val="21"/>
          <w:szCs w:val="21"/>
          <w:lang w:val="en-US" w:eastAsia="zh-CN"/>
        </w:rPr>
        <w:t>九</w:t>
      </w:r>
      <w:r>
        <w:rPr>
          <w:rFonts w:hint="eastAsia" w:ascii="宋体" w:hAnsi="宋体" w:eastAsia="宋体" w:cs="宋体"/>
          <w:b/>
          <w:bCs/>
          <w:color w:val="auto"/>
          <w:sz w:val="21"/>
          <w:szCs w:val="21"/>
        </w:rPr>
        <w:t>条  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（一）乙方不能提供服务的，甲方有权解除合同且不向乙方付款。乙方应向甲方偿付合同总价的百分之</w:t>
      </w:r>
      <w:r>
        <w:rPr>
          <w:rFonts w:hint="eastAsia" w:ascii="宋体" w:hAnsi="宋体" w:eastAsia="宋体" w:cs="宋体"/>
          <w:color w:val="auto"/>
          <w:sz w:val="21"/>
          <w:szCs w:val="21"/>
          <w:u w:val="single"/>
        </w:rPr>
        <w:t>十</w:t>
      </w:r>
      <w:r>
        <w:rPr>
          <w:rFonts w:hint="eastAsia" w:ascii="宋体" w:hAnsi="宋体" w:eastAsia="宋体" w:cs="宋体"/>
          <w:color w:val="auto"/>
          <w:sz w:val="21"/>
          <w:szCs w:val="21"/>
        </w:rPr>
        <w:t>作为违约金，并退还甲方已支付的全部款项。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（二）乙方逾期提供服务的，每日应向甲方偿付合同总额的千分之</w:t>
      </w:r>
      <w:r>
        <w:rPr>
          <w:rFonts w:hint="eastAsia" w:ascii="宋体" w:hAnsi="宋体" w:eastAsia="宋体" w:cs="宋体"/>
          <w:color w:val="auto"/>
          <w:sz w:val="21"/>
          <w:szCs w:val="21"/>
          <w:u w:val="single"/>
        </w:rPr>
        <w:t>一</w:t>
      </w:r>
      <w:r>
        <w:rPr>
          <w:rFonts w:hint="eastAsia" w:ascii="宋体" w:hAnsi="宋体" w:eastAsia="宋体" w:cs="宋体"/>
          <w:color w:val="auto"/>
          <w:sz w:val="21"/>
          <w:szCs w:val="21"/>
        </w:rPr>
        <w:t>作为违约金，逾期超过十天的，甲方有权解除合同，乙方应退还甲方已支付的全部款项并向甲方支付合同总额的</w:t>
      </w:r>
      <w:r>
        <w:rPr>
          <w:rFonts w:hint="eastAsia" w:ascii="宋体" w:hAnsi="宋体" w:eastAsia="宋体" w:cs="宋体"/>
          <w:color w:val="auto"/>
          <w:sz w:val="21"/>
          <w:szCs w:val="21"/>
          <w:u w:val="single"/>
        </w:rPr>
        <w:t>10%</w:t>
      </w:r>
      <w:r>
        <w:rPr>
          <w:rFonts w:hint="eastAsia" w:ascii="宋体" w:hAnsi="宋体" w:eastAsia="宋体" w:cs="宋体"/>
          <w:color w:val="auto"/>
          <w:sz w:val="21"/>
          <w:szCs w:val="21"/>
        </w:rPr>
        <w:t>违约金。</w:t>
      </w:r>
    </w:p>
    <w:p>
      <w:pPr>
        <w:pStyle w:val="7"/>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（三）乙方违反本合同第一条的约定，须承担违约责任，乙方须按合同总额的</w:t>
      </w:r>
      <w:r>
        <w:rPr>
          <w:rFonts w:hint="eastAsia" w:ascii="宋体" w:hAnsi="宋体" w:eastAsia="宋体" w:cs="宋体"/>
          <w:color w:val="auto"/>
          <w:sz w:val="21"/>
          <w:szCs w:val="21"/>
          <w:u w:val="single"/>
        </w:rPr>
        <w:t>1%</w:t>
      </w:r>
      <w:r>
        <w:rPr>
          <w:rFonts w:hint="eastAsia" w:ascii="宋体" w:hAnsi="宋体" w:eastAsia="宋体" w:cs="宋体"/>
          <w:color w:val="auto"/>
          <w:sz w:val="21"/>
          <w:szCs w:val="21"/>
        </w:rPr>
        <w:t>/次的标准计算向甲方支付违约金，若乙方累计违约三次的，甲方有权解除合同，乙方应返还甲方已支付的款项，并按合同总额的</w:t>
      </w:r>
      <w:r>
        <w:rPr>
          <w:rFonts w:hint="eastAsia" w:ascii="宋体" w:hAnsi="宋体" w:eastAsia="宋体" w:cs="宋体"/>
          <w:color w:val="auto"/>
          <w:sz w:val="21"/>
          <w:szCs w:val="21"/>
          <w:u w:val="single"/>
        </w:rPr>
        <w:t>10%</w:t>
      </w:r>
      <w:r>
        <w:rPr>
          <w:rFonts w:hint="eastAsia" w:ascii="宋体" w:hAnsi="宋体" w:eastAsia="宋体" w:cs="宋体"/>
          <w:color w:val="auto"/>
          <w:sz w:val="21"/>
          <w:szCs w:val="21"/>
        </w:rPr>
        <w:t>向甲方支付违约金。若违约金不足以赔偿甲方的实际经济损失的，乙方应当补足差额部分。</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第十条  甲方的违约责任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（一）甲方原因导致逾期付款的（由于项目进度滞后或验收质量不通过原因造成的延期付款违约责任由乙方负责），每日应向乙方偿付逾期付款总额的千分之</w:t>
      </w:r>
      <w:r>
        <w:rPr>
          <w:rFonts w:hint="eastAsia" w:ascii="宋体" w:hAnsi="宋体" w:eastAsia="宋体" w:cs="宋体"/>
          <w:color w:val="auto"/>
          <w:sz w:val="21"/>
          <w:szCs w:val="21"/>
          <w:u w:val="single"/>
        </w:rPr>
        <w:t>一</w:t>
      </w:r>
      <w:r>
        <w:rPr>
          <w:rFonts w:hint="eastAsia" w:ascii="宋体" w:hAnsi="宋体" w:eastAsia="宋体" w:cs="宋体"/>
          <w:color w:val="auto"/>
          <w:sz w:val="21"/>
          <w:szCs w:val="21"/>
        </w:rPr>
        <w:t>作为违约金，但累计违约金不应超过合同总额的</w:t>
      </w:r>
      <w:r>
        <w:rPr>
          <w:rFonts w:hint="eastAsia" w:ascii="宋体" w:hAnsi="宋体" w:eastAsia="宋体" w:cs="宋体"/>
          <w:color w:val="auto"/>
          <w:sz w:val="21"/>
          <w:szCs w:val="21"/>
          <w:u w:val="single"/>
        </w:rPr>
        <w:t>10%</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（二）甲方违反合同规定拒绝接受服务的，应当承担由此而对乙方造成的损失。</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第十</w:t>
      </w:r>
      <w:r>
        <w:rPr>
          <w:rFonts w:hint="eastAsia" w:ascii="宋体" w:hAnsi="宋体" w:eastAsia="宋体" w:cs="宋体"/>
          <w:b/>
          <w:bCs/>
          <w:color w:val="auto"/>
          <w:sz w:val="21"/>
          <w:szCs w:val="21"/>
          <w:lang w:val="en-US" w:eastAsia="zh-CN"/>
        </w:rPr>
        <w:t>一</w:t>
      </w:r>
      <w:r>
        <w:rPr>
          <w:rFonts w:hint="eastAsia" w:ascii="宋体" w:hAnsi="宋体" w:eastAsia="宋体" w:cs="宋体"/>
          <w:b/>
          <w:bCs/>
          <w:color w:val="auto"/>
          <w:sz w:val="21"/>
          <w:szCs w:val="21"/>
        </w:rPr>
        <w:t>条  保密</w:t>
      </w:r>
      <w:r>
        <w:rPr>
          <w:rFonts w:hint="eastAsia" w:ascii="宋体" w:hAnsi="宋体" w:eastAsia="宋体" w:cs="宋体"/>
          <w:b/>
          <w:bCs/>
          <w:color w:val="auto"/>
          <w:sz w:val="21"/>
          <w:szCs w:val="21"/>
          <w:lang w:val="en-US" w:eastAsia="zh-CN"/>
        </w:rPr>
        <w:t>条款</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本合同一方（“资料披露方”）对其向本合同另一方（“资料接受方”）按照本合同规定所提供的各类技术和商业资料、规格说明、图纸、文件及专有技术等（以下简称“保密资料”）享有合法完整的所有权。</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除本合同授权实施的行为外，资料接受方应将保密资料作为商业秘密予以保护，且不得将该保密资料任何部分或全部进行复制或向第三方披露。资料接受方可仅为本合同的目的向其确有知悉必要的雇员披露对方提供的保密资料，但同时须指示其雇员遵守本章规定的保密及不披露义务。资料接受方应对根据本合同接受的保密资料妥善保管，向其提供不低于向接受方自有商业秘密提供的保护之保护。对于保密资料在资料接受方期间发生的被盗、遗失、不慎泄露以及其他对其保密性存在现实或潜在损害的事件，资料接受方应承担全部责任，并赔偿资料披露方因此遭受的全部经济损失。本合同终止或解除后，一方必须销毁所有保密资料的复制件并将原件返还给另一方。</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当出现下述情况时，本条对保密资料的限制不适用，当保密资料：</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并非因资料接受方的过错而已经进入公有领域的。</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已通过该方的有关记录证明是由资料接受方独立开发的。</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由资料接受方从没有违反对资料披露方的保密义务的人处取得的。</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399" w:leftChars="19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法律或有关证券交易所、有管辖权的司法、监察机关要求资料接受方披露的，但资料接受方应在合理的时间提前通知资料披露方，使其得以采取其认为必要的保护措施。</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本合同保密期限为自本合同生效之日起壹拾（10）年。</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第十</w:t>
      </w:r>
      <w:r>
        <w:rPr>
          <w:rFonts w:hint="eastAsia" w:ascii="宋体" w:hAnsi="宋体" w:eastAsia="宋体" w:cs="宋体"/>
          <w:b/>
          <w:bCs/>
          <w:color w:val="auto"/>
          <w:sz w:val="21"/>
          <w:szCs w:val="21"/>
          <w:lang w:val="en-US" w:eastAsia="zh-CN"/>
        </w:rPr>
        <w:t>二</w:t>
      </w:r>
      <w:r>
        <w:rPr>
          <w:rFonts w:hint="eastAsia" w:ascii="宋体" w:hAnsi="宋体" w:eastAsia="宋体" w:cs="宋体"/>
          <w:b/>
          <w:bCs/>
          <w:color w:val="auto"/>
          <w:sz w:val="21"/>
          <w:szCs w:val="21"/>
        </w:rPr>
        <w:t>条  不可抗力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第十</w:t>
      </w:r>
      <w:r>
        <w:rPr>
          <w:rFonts w:hint="eastAsia" w:ascii="宋体" w:hAnsi="宋体" w:eastAsia="宋体" w:cs="宋体"/>
          <w:b/>
          <w:bCs/>
          <w:color w:val="auto"/>
          <w:sz w:val="21"/>
          <w:szCs w:val="21"/>
          <w:lang w:val="en-US" w:eastAsia="zh-CN"/>
        </w:rPr>
        <w:t>三</w:t>
      </w:r>
      <w:r>
        <w:rPr>
          <w:rFonts w:hint="eastAsia" w:ascii="宋体" w:hAnsi="宋体" w:eastAsia="宋体" w:cs="宋体"/>
          <w:b/>
          <w:bCs/>
          <w:color w:val="auto"/>
          <w:sz w:val="21"/>
          <w:szCs w:val="21"/>
        </w:rPr>
        <w:t>条  争议的解决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（一）如因服务的质量问题发生争议，由法定或有资质的质量技术鉴定机构进行质量鉴定，双方应当服从该鉴定的结论。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rPr>
        <w:t>（二）若执行本合同的过程中发生纠纷，双方当事人应当及时协商解决；协商不成时，可向合同签订地人民法院提起诉讼，违约方应承担提起诉讼的律师费、诉讼费、鉴定费等。</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第十</w:t>
      </w:r>
      <w:r>
        <w:rPr>
          <w:rFonts w:hint="eastAsia" w:ascii="宋体" w:hAnsi="宋体" w:eastAsia="宋体" w:cs="宋体"/>
          <w:b/>
          <w:bCs/>
          <w:color w:val="auto"/>
          <w:sz w:val="21"/>
          <w:szCs w:val="21"/>
          <w:lang w:val="en-US" w:eastAsia="zh-CN"/>
        </w:rPr>
        <w:t>四</w:t>
      </w:r>
      <w:r>
        <w:rPr>
          <w:rFonts w:hint="eastAsia" w:ascii="宋体" w:hAnsi="宋体" w:eastAsia="宋体" w:cs="宋体"/>
          <w:b/>
          <w:bCs/>
          <w:color w:val="auto"/>
          <w:sz w:val="21"/>
          <w:szCs w:val="21"/>
        </w:rPr>
        <w:t>条  无效合同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甲乙双方如因违反法律和有关规定，合同被宣告无效的，有过错的一方应当承担赔偿责任，双方都有过错的，各自承担相应的责任。</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第十</w:t>
      </w:r>
      <w:r>
        <w:rPr>
          <w:rFonts w:hint="eastAsia" w:ascii="宋体" w:hAnsi="宋体" w:eastAsia="宋体" w:cs="宋体"/>
          <w:b/>
          <w:bCs/>
          <w:color w:val="auto"/>
          <w:sz w:val="21"/>
          <w:szCs w:val="21"/>
          <w:lang w:val="en-US" w:eastAsia="zh-CN"/>
        </w:rPr>
        <w:t>五</w:t>
      </w:r>
      <w:r>
        <w:rPr>
          <w:rFonts w:hint="eastAsia" w:ascii="宋体" w:hAnsi="宋体" w:eastAsia="宋体" w:cs="宋体"/>
          <w:b/>
          <w:bCs/>
          <w:color w:val="auto"/>
          <w:sz w:val="21"/>
          <w:szCs w:val="21"/>
        </w:rPr>
        <w:t>条  投诉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甲方如对乙方所提供的产品质量及服务提出投诉，超过三次，甲方有权单方解除本合同且不需承担违约及赔偿责任。</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第十</w:t>
      </w:r>
      <w:r>
        <w:rPr>
          <w:rFonts w:hint="eastAsia" w:ascii="宋体" w:hAnsi="宋体" w:eastAsia="宋体" w:cs="宋体"/>
          <w:b/>
          <w:bCs/>
          <w:color w:val="auto"/>
          <w:sz w:val="21"/>
          <w:szCs w:val="21"/>
          <w:lang w:val="en-US" w:eastAsia="zh-CN"/>
        </w:rPr>
        <w:t>六</w:t>
      </w:r>
      <w:r>
        <w:rPr>
          <w:rFonts w:hint="eastAsia" w:ascii="宋体" w:hAnsi="宋体" w:eastAsia="宋体" w:cs="宋体"/>
          <w:b/>
          <w:bCs/>
          <w:color w:val="auto"/>
          <w:sz w:val="21"/>
          <w:szCs w:val="21"/>
        </w:rPr>
        <w:t>条  附则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（一）本合同一式</w:t>
      </w:r>
      <w:r>
        <w:rPr>
          <w:rFonts w:hint="eastAsia" w:ascii="宋体" w:hAnsi="宋体" w:eastAsia="宋体" w:cs="宋体"/>
          <w:color w:val="auto"/>
          <w:sz w:val="21"/>
          <w:szCs w:val="21"/>
          <w:u w:val="single"/>
          <w:lang w:val="en-US" w:eastAsia="zh-CN"/>
        </w:rPr>
        <w:t>肆</w:t>
      </w:r>
      <w:r>
        <w:rPr>
          <w:rFonts w:hint="eastAsia" w:ascii="宋体" w:hAnsi="宋体" w:eastAsia="宋体" w:cs="宋体"/>
          <w:color w:val="auto"/>
          <w:sz w:val="21"/>
          <w:szCs w:val="21"/>
        </w:rPr>
        <w:t>份，甲方执</w:t>
      </w:r>
      <w:r>
        <w:rPr>
          <w:rFonts w:hint="eastAsia" w:ascii="宋体" w:hAnsi="宋体" w:eastAsia="宋体" w:cs="宋体"/>
          <w:color w:val="auto"/>
          <w:sz w:val="21"/>
          <w:szCs w:val="21"/>
          <w:u w:val="single"/>
          <w:lang w:val="en-US" w:eastAsia="zh-CN"/>
        </w:rPr>
        <w:t>贰</w:t>
      </w:r>
      <w:r>
        <w:rPr>
          <w:rFonts w:hint="eastAsia" w:ascii="宋体" w:hAnsi="宋体" w:eastAsia="宋体" w:cs="宋体"/>
          <w:color w:val="auto"/>
          <w:sz w:val="21"/>
          <w:szCs w:val="21"/>
        </w:rPr>
        <w:t>份，乙方执</w:t>
      </w:r>
      <w:r>
        <w:rPr>
          <w:rFonts w:hint="eastAsia" w:ascii="宋体" w:hAnsi="宋体" w:eastAsia="宋体" w:cs="宋体"/>
          <w:color w:val="auto"/>
          <w:sz w:val="21"/>
          <w:szCs w:val="21"/>
          <w:u w:val="single"/>
          <w:lang w:val="en-US" w:eastAsia="zh-CN"/>
        </w:rPr>
        <w:t>贰</w:t>
      </w:r>
      <w:r>
        <w:rPr>
          <w:rFonts w:hint="eastAsia" w:ascii="宋体" w:hAnsi="宋体" w:eastAsia="宋体" w:cs="宋体"/>
          <w:color w:val="auto"/>
          <w:sz w:val="21"/>
          <w:szCs w:val="21"/>
        </w:rPr>
        <w:t>份。每份均具有同等法律效力。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（二）本合同自甲乙双方签字盖章后生效。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三</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本合同所有附件、采购文件、响应文件、成交通知书均为合同的有效组成部分，与本合同具有同等法律效力。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(四）送达与通知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u w:val="none"/>
          <w:lang w:val="en-US" w:eastAsia="zh-CN"/>
        </w:rPr>
      </w:pPr>
      <w:r>
        <w:rPr>
          <w:rFonts w:hint="eastAsia" w:ascii="宋体" w:hAnsi="宋体" w:eastAsia="宋体" w:cs="宋体"/>
          <w:color w:val="auto"/>
          <w:sz w:val="21"/>
          <w:szCs w:val="21"/>
          <w:lang w:val="en-US" w:eastAsia="zh-CN"/>
        </w:rPr>
        <w:t>1. 乙方确认其送达地址为：</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，联系电话：</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，电子邮箱：</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乙方同意以上述地址及联系方式，作为乙方送达与本合同相关的各类通知、协议等文件，在发生诉讼纠纷时相关文件，以及诉讼、仲裁法律文书的送达地址，乙方上述送达地址的适用范围包括非讼阶段和争议进入仲裁、民事诉讼程序后的一审、二审、再审和执行程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3.甲方任何书面或电子信息通知只要发往上述送达地址，均视为甲方已履行通知义务；仲裁机构、人民法院送达时，可直接邮寄送达上述送达地址。</w:t>
      </w:r>
    </w:p>
    <w:p>
      <w:pPr>
        <w:pStyle w:val="7"/>
        <w:spacing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（以下无正文）</w:t>
      </w:r>
    </w:p>
    <w:p>
      <w:pPr>
        <w:keepNext w:val="0"/>
        <w:keepLines w:val="0"/>
        <w:pageBreakBefore w:val="0"/>
        <w:widowControl w:val="0"/>
        <w:kinsoku/>
        <w:wordWrap/>
        <w:overflowPunct/>
        <w:topLinePunct w:val="0"/>
        <w:autoSpaceDE/>
        <w:autoSpaceDN/>
        <w:bidi w:val="0"/>
        <w:adjustRightInd/>
        <w:snapToGrid/>
        <w:spacing w:line="360" w:lineRule="auto"/>
        <w:ind w:left="0" w:hanging="5040" w:hangingChars="24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 xml:space="preserve">（甲方）：数字江门网络建设有限公司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（乙方）：</w:t>
      </w:r>
    </w:p>
    <w:p>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法定代表人/委托代理人：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法定代表人/委托代理人：</w:t>
      </w:r>
    </w:p>
    <w:p>
      <w:pPr>
        <w:pStyle w:val="7"/>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签订日期：</w:t>
      </w:r>
      <w:r>
        <w:rPr>
          <w:rFonts w:hint="eastAsia" w:ascii="宋体" w:hAnsi="宋体" w:eastAsia="宋体" w:cs="宋体"/>
          <w:color w:val="auto"/>
          <w:sz w:val="21"/>
          <w:szCs w:val="21"/>
          <w:lang w:val="en-US" w:eastAsia="zh-CN"/>
        </w:rPr>
        <w:t xml:space="preserve">                         </w:t>
      </w:r>
    </w:p>
    <w:p>
      <w:pPr>
        <w:pStyle w:val="7"/>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签订地点：江门市蓬江区</w:t>
      </w:r>
    </w:p>
    <w:p>
      <w:pPr>
        <w:rPr>
          <w:rFonts w:hint="eastAsia" w:ascii="宋体" w:hAnsi="宋体" w:eastAsia="宋体" w:cs="宋体"/>
          <w:color w:val="auto"/>
          <w:sz w:val="21"/>
          <w:szCs w:val="21"/>
        </w:rPr>
      </w:pPr>
    </w:p>
    <w:p>
      <w:pPr>
        <w:ind w:firstLine="482" w:firstLineChars="200"/>
        <w:rPr>
          <w:rFonts w:hint="eastAsia" w:ascii="宋体" w:hAnsi="宋体" w:eastAsia="宋体" w:cs="宋体"/>
          <w:color w:val="auto"/>
          <w:sz w:val="28"/>
          <w:szCs w:val="28"/>
          <w:highlight w:val="none"/>
        </w:rPr>
      </w:pPr>
      <w:r>
        <w:rPr>
          <w:rFonts w:hint="eastAsia" w:ascii="宋体" w:hAnsi="宋体" w:eastAsia="宋体" w:cs="宋体"/>
          <w:b/>
          <w:bCs/>
          <w:sz w:val="24"/>
          <w:szCs w:val="24"/>
          <w:highlight w:val="none"/>
        </w:rPr>
        <w:t>注：本合同样本仅供形式上的参考，具体条款内容由采购人和成交供应商协商确定。</w:t>
      </w:r>
    </w:p>
    <w:p>
      <w:pPr>
        <w:pStyle w:val="2"/>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300000000000000"/>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posOffset>4147185</wp:posOffset>
              </wp:positionH>
              <wp:positionV relativeFrom="paragraph">
                <wp:posOffset>-83820</wp:posOffset>
              </wp:positionV>
              <wp:extent cx="1127125" cy="23812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27125" cy="23812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25</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26.55pt;margin-top:-6.6pt;height:18.75pt;width:88.75pt;mso-position-horizontal-relative:margin;z-index:251659264;mso-width-relative:page;mso-height-relative:page;" filled="f" stroked="f" coordsize="21600,21600" o:gfxdata="UEsDBAoAAAAAAIdO4kAAAAAAAAAAAAAAAAAEAAAAZHJzL1BLAwQUAAAACACHTuJAN7NpNtkAAAAK&#10;AQAADwAAAGRycy9kb3ducmV2LnhtbE2Py07DMBBF90j8gzVI7FrbCURVyKQLHjsepYAEOyc2SUQ8&#10;jmwnLX+PWcFydI/uPVNtj3Zki/FhcIQg1wKYodbpgTqE15e71QZYiIq0Gh0ZhG8TYFufnlSq1O5A&#10;z2bZx46lEgqlQuhjnErOQ9sbq8LaTYZS9um8VTGdvuPaq0MqtyPPhCi4VQOlhV5N5ro37dd+tgjj&#10;e/D3jYgfy033EHdPfH67lY+I52dSXAGL5hj/YPjVT+pQJ6fGzaQDGxGKy1wmFGEl8wxYIja5KIA1&#10;CNlFDryu+P8X6h9QSwMEFAAAAAgAh07iQI6U6OTgAgAAJQYAAA4AAABkcnMvZTJvRG9jLnhtbK1U&#10;yY7UMBC9I/EPlu+ZLJPeokmjns4EIbWYkQbE2e04HYvENrZ7GRBX+ANOXLjzXfMdlLP0LCA0EvQh&#10;XbbLr+q9KtfZi0NTox3ThkuR4vAkwIgJKgsuNil++yb3phgZS0RBailYim+YwS/mz5+d7VXCIlnJ&#10;umAaAYgwyV6luLJWJb5vaMUaYk6kYgIOS6kbYmGpN36hyR7Qm9qPgmDs76UulJaUGQO7WXeIe0T9&#10;FEBZlpyyTNJtw4TtUDWriQVKpuLK4HmbbVkyai/L0jCL6hQDU9t+IQjYa/f152ck2WiiKk77FMhT&#10;UnjEqSFcQNAjVEYsQVvNf4NqONXSyNKeUNn4HZFWEWARBo+0ua6IYi0XkNqoo+jm/8HS17srjXgB&#10;nYCRIA0U/Pbb19vvP29/fEGhk2evTAJe1wr87OFcHpxrv29g07E+lLpx/8AHwTmIe3MUlx0sou5S&#10;GE3CaIQRhbPodOpsgPHvbitt7EsmG+SMFGsoXqsp2a2M7VwHFxdMyJzXNeyTpBZon+Lx6ShoLxxP&#10;ALwWzgGSAIze6grzaRbMLqYX09iLo/GFFwdZ5i3yZeyN83Ayyk6z5TILPzu8ME4qXhRMuHhDk4Tx&#10;04rQN0pX3mObGFnzwsG5lIzerJe1RjsCTZq3v16Ze27+wzRa4YDVI0phFAfn0czLx9OJF+fxyJtN&#10;gqkXhLPz2TiIZ3GWP6S04oL9O6UH6t9LmiSuYEdu65rQ93+l5tK5owblGwrnuzbs2s1Z9rA+9D24&#10;lsUNtKaW3ds2iuYcgq6IsVdEw2OGboRxZy/hU9YS+kT2FkaV1B//tO/8obxwitEehkOKzYct0Qyj&#10;+pWA1+cmyWDowVgPhtg2SwmlhBcF2bQmXNC2HsxSy+YdTMGFiwJHRFCIlWI7mEvbjSiYopQtFq3T&#10;Vmm+qboLMDsUsStxragL45pAyMXWypK3D8VJ1OkCYroFTI9W1n7SufF0f9163U33+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3s2k22QAAAAoBAAAPAAAAAAAAAAEAIAAAACIAAABkcnMvZG93bnJl&#10;di54bWxQSwECFAAUAAAACACHTuJAjpTo5OACAAAlBgAADgAAAAAAAAABACAAAAAoAQAAZHJzL2Uy&#10;b0RvYy54bWxQSwUGAAAAAAYABgBZAQAAegYAAAAA&#10;">
              <v:fill on="f" focussize="0,0"/>
              <v:stroke on="f" weight="0.5pt"/>
              <v:imagedata o:title=""/>
              <o:lock v:ext="edit" aspectratio="f"/>
              <v:textbox inset="0mm,0mm,0mm,0mm">
                <w:txbxContent>
                  <w:p>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692391"/>
    <w:multiLevelType w:val="singleLevel"/>
    <w:tmpl w:val="B1692391"/>
    <w:lvl w:ilvl="0" w:tentative="0">
      <w:start w:val="1"/>
      <w:numFmt w:val="chineseCounting"/>
      <w:suff w:val="nothing"/>
      <w:lvlText w:val="（%1）"/>
      <w:lvlJc w:val="left"/>
      <w:pPr>
        <w:ind w:left="0" w:firstLine="420"/>
      </w:pPr>
      <w:rPr>
        <w:rFonts w:hint="eastAsia"/>
      </w:rPr>
    </w:lvl>
  </w:abstractNum>
  <w:abstractNum w:abstractNumId="1">
    <w:nsid w:val="BBCED7DA"/>
    <w:multiLevelType w:val="singleLevel"/>
    <w:tmpl w:val="BBCED7DA"/>
    <w:lvl w:ilvl="0" w:tentative="0">
      <w:start w:val="4"/>
      <w:numFmt w:val="chineseCounting"/>
      <w:suff w:val="nothing"/>
      <w:lvlText w:val="%1、"/>
      <w:lvlJc w:val="left"/>
      <w:rPr>
        <w:rFonts w:hint="eastAsia"/>
      </w:rPr>
    </w:lvl>
  </w:abstractNum>
  <w:abstractNum w:abstractNumId="2">
    <w:nsid w:val="767957EB"/>
    <w:multiLevelType w:val="singleLevel"/>
    <w:tmpl w:val="767957EB"/>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yNzA2YjQ2MDRkNmNkMTg1NDg2MTQ0NWJjMGQ3ZjcifQ=="/>
    <w:docVar w:name="KSO_WPS_MARK_KEY" w:val="062609b3-6a0a-4f95-9a5a-60519f1dcc6a"/>
  </w:docVars>
  <w:rsids>
    <w:rsidRoot w:val="74531B0F"/>
    <w:rsid w:val="04426FFB"/>
    <w:rsid w:val="047C6E64"/>
    <w:rsid w:val="05123C0E"/>
    <w:rsid w:val="05B4270F"/>
    <w:rsid w:val="068B011B"/>
    <w:rsid w:val="07C30C69"/>
    <w:rsid w:val="088210AA"/>
    <w:rsid w:val="08B52BC0"/>
    <w:rsid w:val="0ADE59D1"/>
    <w:rsid w:val="0B9C5CC1"/>
    <w:rsid w:val="0F8F6A2A"/>
    <w:rsid w:val="13C227D1"/>
    <w:rsid w:val="140B109F"/>
    <w:rsid w:val="177D200A"/>
    <w:rsid w:val="191C2E55"/>
    <w:rsid w:val="1E85324A"/>
    <w:rsid w:val="23390043"/>
    <w:rsid w:val="23C91DC7"/>
    <w:rsid w:val="240510B5"/>
    <w:rsid w:val="24A87C93"/>
    <w:rsid w:val="251B46E0"/>
    <w:rsid w:val="29DE5A0A"/>
    <w:rsid w:val="2AF23A16"/>
    <w:rsid w:val="2C7427D1"/>
    <w:rsid w:val="2F7075FF"/>
    <w:rsid w:val="2FD30669"/>
    <w:rsid w:val="301601A6"/>
    <w:rsid w:val="322E59FE"/>
    <w:rsid w:val="32E254BD"/>
    <w:rsid w:val="35541F21"/>
    <w:rsid w:val="35FF4995"/>
    <w:rsid w:val="37651747"/>
    <w:rsid w:val="378E09D7"/>
    <w:rsid w:val="3D576C97"/>
    <w:rsid w:val="3E065D98"/>
    <w:rsid w:val="412F06F1"/>
    <w:rsid w:val="42F8478B"/>
    <w:rsid w:val="430400AA"/>
    <w:rsid w:val="476E60B5"/>
    <w:rsid w:val="480212E4"/>
    <w:rsid w:val="4B5A1285"/>
    <w:rsid w:val="4E006AFF"/>
    <w:rsid w:val="509946DA"/>
    <w:rsid w:val="56C66CC8"/>
    <w:rsid w:val="576976F9"/>
    <w:rsid w:val="58636A40"/>
    <w:rsid w:val="5AD76600"/>
    <w:rsid w:val="5B357F7A"/>
    <w:rsid w:val="5D144D82"/>
    <w:rsid w:val="60C22A88"/>
    <w:rsid w:val="643B09C3"/>
    <w:rsid w:val="65651AC5"/>
    <w:rsid w:val="65D565BD"/>
    <w:rsid w:val="66C03272"/>
    <w:rsid w:val="69B90F75"/>
    <w:rsid w:val="6BBA05BE"/>
    <w:rsid w:val="6C0703C8"/>
    <w:rsid w:val="6FD95580"/>
    <w:rsid w:val="70455963"/>
    <w:rsid w:val="739C7F8F"/>
    <w:rsid w:val="744F4027"/>
    <w:rsid w:val="74531B0F"/>
    <w:rsid w:val="7527791C"/>
    <w:rsid w:val="756A4B47"/>
    <w:rsid w:val="76F679B7"/>
    <w:rsid w:val="7A602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5">
    <w:name w:val="Normal Indent"/>
    <w:basedOn w:val="1"/>
    <w:qFormat/>
    <w:uiPriority w:val="0"/>
    <w:pPr>
      <w:ind w:firstLine="420" w:firstLineChars="200"/>
    </w:pPr>
  </w:style>
  <w:style w:type="paragraph" w:styleId="6">
    <w:name w:val="annotation text"/>
    <w:basedOn w:val="1"/>
    <w:qFormat/>
    <w:uiPriority w:val="0"/>
    <w:pPr>
      <w:jc w:val="left"/>
    </w:pPr>
  </w:style>
  <w:style w:type="paragraph" w:styleId="7">
    <w:name w:val="Body Text"/>
    <w:basedOn w:val="1"/>
    <w:unhideWhenUsed/>
    <w:qFormat/>
    <w:uiPriority w:val="99"/>
    <w:pPr>
      <w:spacing w:after="120"/>
    </w:pPr>
  </w:style>
  <w:style w:type="paragraph" w:styleId="8">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customStyle="1" w:styleId="12">
    <w:name w:val="List Paragraph"/>
    <w:basedOn w:val="1"/>
    <w:unhideWhenUsed/>
    <w:qFormat/>
    <w:uiPriority w:val="34"/>
    <w:pPr>
      <w:ind w:firstLine="420" w:firstLineChars="200"/>
    </w:pPr>
    <w:rPr>
      <w:rFonts w:eastAsia="宋体"/>
      <w:szCs w:val="24"/>
    </w:rPr>
  </w:style>
  <w:style w:type="paragraph" w:customStyle="1" w:styleId="13">
    <w:name w:val="_Style 97"/>
    <w:basedOn w:val="1"/>
    <w:next w:val="12"/>
    <w:qFormat/>
    <w:uiPriority w:val="0"/>
    <w:pPr>
      <w:ind w:firstLine="420" w:firstLineChars="200"/>
    </w:pPr>
  </w:style>
  <w:style w:type="paragraph" w:customStyle="1" w:styleId="14">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列表段落1"/>
    <w:basedOn w:val="1"/>
    <w:unhideWhenUsed/>
    <w:qFormat/>
    <w:uiPriority w:val="34"/>
    <w:pPr>
      <w:ind w:firstLine="420" w:firstLineChars="200"/>
    </w:pPr>
    <w:rPr>
      <w:rFonts w:eastAsia="宋体"/>
    </w:rPr>
  </w:style>
  <w:style w:type="paragraph" w:customStyle="1" w:styleId="16">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7">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8">
    <w:name w:val="unnamed11"/>
    <w:qFormat/>
    <w:uiPriority w:val="0"/>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12975</Words>
  <Characters>13754</Characters>
  <Lines>0</Lines>
  <Paragraphs>0</Paragraphs>
  <TotalTime>2</TotalTime>
  <ScaleCrop>false</ScaleCrop>
  <LinksUpToDate>false</LinksUpToDate>
  <CharactersWithSpaces>14300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LIN</cp:lastModifiedBy>
  <dcterms:modified xsi:type="dcterms:W3CDTF">2024-01-12T07:29:20Z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83A5D0F788CA4BA8A968E511DEB9F141</vt:lpwstr>
  </property>
</Properties>
</file>