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eastAsiaTheme="minorEastAsia"/>
          <w:b/>
          <w:bCs/>
          <w:kern w:val="44"/>
          <w:sz w:val="32"/>
          <w:szCs w:val="32"/>
          <w:highlight w:val="none"/>
          <w:lang w:val="en-US" w:eastAsia="zh-CN" w:bidi="ar-SA"/>
        </w:rPr>
      </w:pPr>
      <w:bookmarkStart w:id="0" w:name="_GoBack"/>
      <w:bookmarkEnd w:id="0"/>
      <w:r>
        <w:rPr>
          <w:rFonts w:hint="eastAsia" w:ascii="Times New Roman" w:hAnsi="Times New Roman" w:cs="Times New Roman" w:eastAsiaTheme="minorEastAsia"/>
          <w:b/>
          <w:bCs/>
          <w:kern w:val="44"/>
          <w:sz w:val="32"/>
          <w:szCs w:val="32"/>
          <w:highlight w:val="none"/>
          <w:lang w:val="en-US" w:eastAsia="zh-CN" w:bidi="ar-SA"/>
        </w:rPr>
        <w:t>2023年数字江门网络建设有限公司数据中心机房运维服务项目采购需求</w:t>
      </w:r>
    </w:p>
    <w:p>
      <w:pPr>
        <w:rPr>
          <w:rFonts w:asciiTheme="minorEastAsia" w:hAnsiTheme="minorEastAsia" w:cstheme="minorEastAsia"/>
          <w:b/>
          <w:color w:val="auto"/>
          <w:sz w:val="28"/>
          <w:szCs w:val="28"/>
          <w:highlight w:val="none"/>
        </w:rPr>
      </w:pPr>
      <w:r>
        <w:rPr>
          <w:rFonts w:hint="eastAsia" w:ascii="黑体" w:hAnsi="黑体" w:eastAsia="黑体" w:cs="黑体"/>
          <w:b/>
          <w:color w:val="auto"/>
          <w:sz w:val="28"/>
          <w:szCs w:val="28"/>
          <w:highlight w:val="none"/>
        </w:rPr>
        <w:t>一、项目概述</w:t>
      </w:r>
    </w:p>
    <w:p>
      <w:pPr>
        <w:pStyle w:val="13"/>
        <w:spacing w:line="360" w:lineRule="auto"/>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sz w:val="28"/>
          <w:szCs w:val="28"/>
        </w:rPr>
        <w:t>为全面整合和盘活现有政务机房资产，进一步提升现有政务机房的管理水平，对政务机房的动力环境和系统平台进行集约化运维工作，确保政务系统安全可靠运行。</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zh-CN"/>
        </w:rPr>
        <w:t>二、</w:t>
      </w:r>
      <w:r>
        <w:rPr>
          <w:rFonts w:hint="eastAsia" w:ascii="黑体" w:hAnsi="黑体" w:eastAsia="黑体" w:cs="黑体"/>
          <w:b/>
          <w:color w:val="auto"/>
          <w:sz w:val="28"/>
          <w:szCs w:val="28"/>
          <w:highlight w:val="none"/>
          <w:lang w:val="en-US" w:eastAsia="zh-CN"/>
        </w:rPr>
        <w:t>项目主要内容</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1"/>
        <w:rPr>
          <w:rFonts w:hint="eastAsia" w:ascii="仿宋" w:hAnsi="仿宋" w:eastAsia="仿宋" w:cstheme="minorBidi"/>
          <w:color w:val="auto"/>
          <w:kern w:val="2"/>
          <w:sz w:val="28"/>
          <w:szCs w:val="28"/>
          <w:lang w:val="en-US" w:eastAsia="zh-CN"/>
        </w:rPr>
      </w:pPr>
      <w:r>
        <w:rPr>
          <w:rFonts w:hint="eastAsia" w:ascii="仿宋" w:hAnsi="仿宋" w:eastAsia="仿宋" w:cstheme="minorBidi"/>
          <w:color w:val="auto"/>
          <w:kern w:val="2"/>
          <w:sz w:val="28"/>
          <w:szCs w:val="28"/>
          <w:lang w:val="en-US" w:eastAsia="zh-CN"/>
        </w:rPr>
        <w:t>（一）派驻1人驻点江门市大数据管理中心。</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1"/>
        <w:rPr>
          <w:rFonts w:hint="eastAsia" w:ascii="仿宋" w:hAnsi="仿宋" w:eastAsia="仿宋" w:cstheme="minorBidi"/>
          <w:color w:val="auto"/>
          <w:kern w:val="2"/>
          <w:sz w:val="28"/>
          <w:szCs w:val="28"/>
          <w:lang w:val="en-US" w:eastAsia="zh-CN"/>
        </w:rPr>
      </w:pPr>
      <w:r>
        <w:rPr>
          <w:rFonts w:hint="eastAsia" w:ascii="仿宋" w:hAnsi="仿宋" w:eastAsia="仿宋" w:cstheme="minorBidi"/>
          <w:color w:val="auto"/>
          <w:kern w:val="2"/>
          <w:sz w:val="28"/>
          <w:szCs w:val="28"/>
          <w:lang w:val="en-US" w:eastAsia="zh-CN"/>
        </w:rPr>
        <w:t>（二）协助处理虚拟机资源申请进行IP资源分配、部署相关虚拟机等。</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1"/>
        <w:rPr>
          <w:rFonts w:hint="eastAsia" w:ascii="仿宋" w:hAnsi="仿宋" w:eastAsia="仿宋" w:cs="仿宋"/>
          <w:b w:val="0"/>
          <w:bCs w:val="0"/>
          <w:color w:val="auto"/>
          <w:kern w:val="2"/>
          <w:sz w:val="28"/>
          <w:szCs w:val="28"/>
          <w:highlight w:val="none"/>
          <w:lang w:val="zh-CN" w:eastAsia="zh-CN" w:bidi="ar-SA"/>
        </w:rPr>
      </w:pPr>
      <w:r>
        <w:rPr>
          <w:rFonts w:hint="eastAsia" w:ascii="仿宋" w:hAnsi="仿宋" w:eastAsia="仿宋" w:cstheme="minorBidi"/>
          <w:color w:val="auto"/>
          <w:kern w:val="2"/>
          <w:sz w:val="28"/>
          <w:szCs w:val="28"/>
          <w:lang w:val="en-US" w:eastAsia="zh-CN"/>
        </w:rPr>
        <w:t>（三）根据用户要求对交换机、安全设备等进行维护和配置，定期对服务器操作系统进行预防性杀毒及补丁更新等。</w:t>
      </w:r>
    </w:p>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eastAsia="zh-CN"/>
        </w:rPr>
        <w:t>三</w:t>
      </w:r>
      <w:r>
        <w:rPr>
          <w:rFonts w:hint="eastAsia" w:ascii="黑体" w:hAnsi="黑体" w:eastAsia="黑体" w:cs="黑体"/>
          <w:b/>
          <w:color w:val="auto"/>
          <w:sz w:val="28"/>
          <w:szCs w:val="28"/>
          <w:highlight w:val="none"/>
        </w:rPr>
        <w:t>、</w:t>
      </w:r>
      <w:r>
        <w:rPr>
          <w:rFonts w:hint="eastAsia" w:ascii="黑体" w:hAnsi="黑体" w:eastAsia="黑体" w:cs="黑体"/>
          <w:b/>
          <w:color w:val="auto"/>
          <w:sz w:val="28"/>
          <w:szCs w:val="28"/>
          <w:highlight w:val="none"/>
          <w:lang w:val="en-US" w:eastAsia="zh-CN"/>
        </w:rPr>
        <w:t>服务周期</w:t>
      </w:r>
    </w:p>
    <w:p>
      <w:pPr>
        <w:ind w:firstLine="60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宋体"/>
          <w:sz w:val="30"/>
          <w:szCs w:val="30"/>
          <w:lang w:eastAsia="zh-Hans"/>
        </w:rPr>
        <w:t>自合同签订生效之日起</w:t>
      </w:r>
      <w:r>
        <w:rPr>
          <w:rFonts w:hint="eastAsia" w:ascii="仿宋" w:hAnsi="仿宋" w:eastAsia="仿宋" w:cs="宋体"/>
          <w:sz w:val="30"/>
          <w:szCs w:val="30"/>
          <w:lang w:val="en-US" w:eastAsia="zh-CN"/>
        </w:rPr>
        <w:t>至2024年1月4日止</w:t>
      </w:r>
      <w:r>
        <w:rPr>
          <w:rFonts w:hint="eastAsia" w:ascii="仿宋" w:hAnsi="仿宋" w:eastAsia="仿宋" w:cs="仿宋"/>
          <w:sz w:val="28"/>
          <w:szCs w:val="28"/>
          <w:lang w:val="en-US" w:eastAsia="zh-CN"/>
        </w:rPr>
        <w:t>。</w:t>
      </w:r>
    </w:p>
    <w:p>
      <w:pPr>
        <w:numPr>
          <w:ilvl w:val="0"/>
          <w:numId w:val="1"/>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项目主要运维内容</w:t>
      </w:r>
    </w:p>
    <w:tbl>
      <w:tblPr>
        <w:tblStyle w:val="9"/>
        <w:tblW w:w="9119" w:type="dxa"/>
        <w:jc w:val="center"/>
        <w:tblLayout w:type="fixed"/>
        <w:tblCellMar>
          <w:top w:w="15" w:type="dxa"/>
          <w:left w:w="15" w:type="dxa"/>
          <w:bottom w:w="15" w:type="dxa"/>
          <w:right w:w="15" w:type="dxa"/>
        </w:tblCellMar>
      </w:tblPr>
      <w:tblGrid>
        <w:gridCol w:w="735"/>
        <w:gridCol w:w="1290"/>
        <w:gridCol w:w="1382"/>
        <w:gridCol w:w="719"/>
        <w:gridCol w:w="631"/>
        <w:gridCol w:w="3516"/>
        <w:gridCol w:w="846"/>
      </w:tblGrid>
      <w:tr>
        <w:tblPrEx>
          <w:tblCellMar>
            <w:top w:w="15" w:type="dxa"/>
            <w:left w:w="15" w:type="dxa"/>
            <w:bottom w:w="15" w:type="dxa"/>
            <w:right w:w="15" w:type="dxa"/>
          </w:tblCellMar>
        </w:tblPrEx>
        <w:trPr>
          <w:trHeight w:val="974"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b/>
                <w:color w:val="auto"/>
                <w:sz w:val="24"/>
                <w:szCs w:val="24"/>
              </w:rPr>
            </w:pPr>
            <w:r>
              <w:rPr>
                <w:rFonts w:hint="eastAsia" w:ascii="宋体" w:hAnsi="宋体" w:eastAsia="宋体" w:cs="宋体"/>
                <w:b/>
                <w:color w:val="auto"/>
                <w:sz w:val="24"/>
                <w:szCs w:val="24"/>
                <w:lang w:bidi="ar"/>
              </w:rPr>
              <w:t>序号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b/>
                <w:color w:val="auto"/>
                <w:sz w:val="24"/>
                <w:szCs w:val="24"/>
              </w:rPr>
            </w:pPr>
            <w:r>
              <w:rPr>
                <w:rFonts w:hint="eastAsia" w:ascii="宋体" w:hAnsi="宋体" w:eastAsia="宋体" w:cs="宋体"/>
                <w:b/>
                <w:color w:val="auto"/>
                <w:sz w:val="24"/>
                <w:szCs w:val="24"/>
                <w:lang w:bidi="ar"/>
              </w:rPr>
              <w:t>服务类型</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b/>
                <w:color w:val="auto"/>
                <w:sz w:val="24"/>
                <w:szCs w:val="24"/>
              </w:rPr>
            </w:pPr>
            <w:r>
              <w:rPr>
                <w:rFonts w:hint="eastAsia" w:ascii="宋体" w:hAnsi="宋体" w:eastAsia="宋体" w:cs="宋体"/>
                <w:b/>
                <w:color w:val="auto"/>
                <w:sz w:val="24"/>
                <w:szCs w:val="24"/>
                <w:lang w:bidi="ar"/>
              </w:rPr>
              <w:t>服务项目</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b/>
                <w:color w:val="auto"/>
                <w:sz w:val="24"/>
                <w:szCs w:val="24"/>
              </w:rPr>
            </w:pPr>
            <w:r>
              <w:rPr>
                <w:rFonts w:hint="eastAsia" w:ascii="宋体" w:hAnsi="宋体" w:eastAsia="宋体" w:cs="宋体"/>
                <w:b/>
                <w:color w:val="auto"/>
                <w:sz w:val="24"/>
                <w:szCs w:val="24"/>
                <w:lang w:bidi="ar"/>
              </w:rPr>
              <w:t>数量</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b/>
                <w:color w:val="auto"/>
                <w:sz w:val="24"/>
                <w:szCs w:val="24"/>
              </w:rPr>
            </w:pPr>
            <w:r>
              <w:rPr>
                <w:rFonts w:hint="eastAsia" w:ascii="宋体" w:hAnsi="宋体" w:eastAsia="宋体" w:cs="宋体"/>
                <w:b/>
                <w:color w:val="auto"/>
                <w:sz w:val="24"/>
                <w:szCs w:val="24"/>
                <w:lang w:bidi="ar"/>
              </w:rPr>
              <w:t>单位</w:t>
            </w:r>
          </w:p>
        </w:tc>
        <w:tc>
          <w:tcPr>
            <w:tcW w:w="351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b/>
                <w:color w:val="auto"/>
                <w:sz w:val="24"/>
                <w:szCs w:val="24"/>
              </w:rPr>
            </w:pPr>
            <w:r>
              <w:rPr>
                <w:rFonts w:hint="eastAsia" w:ascii="宋体" w:hAnsi="宋体" w:eastAsia="宋体" w:cs="宋体"/>
                <w:b/>
                <w:color w:val="auto"/>
                <w:sz w:val="24"/>
                <w:szCs w:val="24"/>
                <w:lang w:bidi="ar"/>
              </w:rPr>
              <w:t>服务内容</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b/>
                <w:color w:val="auto"/>
                <w:sz w:val="24"/>
                <w:szCs w:val="24"/>
              </w:rPr>
            </w:pPr>
            <w:r>
              <w:rPr>
                <w:rFonts w:hint="eastAsia" w:ascii="宋体" w:hAnsi="宋体" w:eastAsia="宋体" w:cs="宋体"/>
                <w:b/>
                <w:color w:val="auto"/>
                <w:sz w:val="24"/>
                <w:szCs w:val="24"/>
                <w:lang w:bidi="ar"/>
              </w:rPr>
              <w:t>备注</w:t>
            </w:r>
          </w:p>
        </w:tc>
      </w:tr>
      <w:tr>
        <w:tblPrEx>
          <w:tblCellMar>
            <w:top w:w="15" w:type="dxa"/>
            <w:left w:w="15" w:type="dxa"/>
            <w:bottom w:w="15" w:type="dxa"/>
            <w:right w:w="15" w:type="dxa"/>
          </w:tblCellMar>
        </w:tblPrEx>
        <w:trPr>
          <w:trHeight w:val="108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设备资产管理</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设备资产登记</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项</w:t>
            </w:r>
          </w:p>
        </w:tc>
        <w:tc>
          <w:tcPr>
            <w:tcW w:w="3516"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对电子政务机房内的硬件设备进行清算登记，建立《设备资产登记表》台帐，每周更新一次。</w:t>
            </w:r>
          </w:p>
          <w:p>
            <w:pPr>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提供机房基础环境整理和清洁服务、提交台账更新报表和年度台账汇总表。</w:t>
            </w:r>
          </w:p>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162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工单运维服务</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工单运维服务</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w:t>
            </w:r>
          </w:p>
        </w:tc>
        <w:tc>
          <w:tcPr>
            <w:tcW w:w="631" w:type="dxa"/>
            <w:tcBorders>
              <w:top w:val="single" w:color="000000" w:sz="4" w:space="0"/>
              <w:left w:val="single" w:color="000000" w:sz="4" w:space="0"/>
              <w:bottom w:val="single" w:color="000000" w:sz="4" w:space="0"/>
              <w:right w:val="single" w:color="auto"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项</w:t>
            </w:r>
          </w:p>
        </w:tc>
        <w:tc>
          <w:tcPr>
            <w:tcW w:w="351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1、对虚拟机资源申请进行IP资源分配、部署相关虚拟机，做好登记。</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2、对用户报障的问题及时记录，驻场服务工程师5分钟响应处理，对事件记录好处理过程，建立事件处置档案，每周提交《运维服务记录表》档案；</w:t>
            </w:r>
          </w:p>
          <w:p>
            <w:pPr>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3、协助用户做好相关电子政务机房保障工作。</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540" w:hRule="atLeast"/>
          <w:jc w:val="center"/>
        </w:trPr>
        <w:tc>
          <w:tcPr>
            <w:tcW w:w="735" w:type="dxa"/>
            <w:vMerge w:val="restart"/>
            <w:tcBorders>
              <w:top w:val="single" w:color="000000" w:sz="4" w:space="0"/>
              <w:left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3</w:t>
            </w:r>
          </w:p>
        </w:tc>
        <w:tc>
          <w:tcPr>
            <w:tcW w:w="129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机房核心</w:t>
            </w:r>
            <w:r>
              <w:rPr>
                <w:rFonts w:hint="eastAsia" w:ascii="宋体" w:hAnsi="宋体" w:eastAsia="宋体" w:cs="宋体"/>
                <w:color w:val="auto"/>
                <w:sz w:val="24"/>
                <w:szCs w:val="24"/>
                <w:lang w:eastAsia="zh-CN" w:bidi="ar"/>
              </w:rPr>
              <w:t>路由</w:t>
            </w:r>
            <w:r>
              <w:rPr>
                <w:rFonts w:hint="eastAsia" w:ascii="宋体" w:hAnsi="宋体" w:eastAsia="宋体" w:cs="宋体"/>
                <w:color w:val="auto"/>
                <w:sz w:val="24"/>
                <w:szCs w:val="24"/>
                <w:lang w:bidi="ar"/>
              </w:rPr>
              <w:t>交换运维</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核心路由器</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lang w:val="en-US" w:eastAsia="zh-CN" w:bidi="ar"/>
              </w:rPr>
            </w:pPr>
            <w:r>
              <w:rPr>
                <w:rFonts w:hint="eastAsia" w:ascii="宋体" w:hAnsi="宋体" w:eastAsia="宋体" w:cs="宋体"/>
                <w:color w:val="auto"/>
                <w:sz w:val="24"/>
                <w:szCs w:val="24"/>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台</w:t>
            </w:r>
          </w:p>
        </w:tc>
        <w:tc>
          <w:tcPr>
            <w:tcW w:w="3516" w:type="dxa"/>
            <w:vMerge w:val="restart"/>
            <w:tcBorders>
              <w:top w:val="single" w:color="auto" w:sz="4" w:space="0"/>
              <w:left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1、对出口</w:t>
            </w:r>
            <w:r>
              <w:rPr>
                <w:rFonts w:hint="eastAsia" w:ascii="宋体" w:hAnsi="宋体" w:eastAsia="宋体" w:cs="宋体"/>
                <w:color w:val="auto"/>
                <w:sz w:val="24"/>
                <w:szCs w:val="24"/>
                <w:lang w:eastAsia="zh-CN" w:bidi="ar"/>
              </w:rPr>
              <w:t>路由器、核心路由器</w:t>
            </w:r>
            <w:r>
              <w:rPr>
                <w:rFonts w:hint="eastAsia" w:ascii="宋体" w:hAnsi="宋体" w:eastAsia="宋体" w:cs="宋体"/>
                <w:color w:val="auto"/>
                <w:sz w:val="24"/>
                <w:szCs w:val="24"/>
                <w:lang w:bidi="ar"/>
              </w:rPr>
              <w:t>和核心交换机根据用户提交需求进行维护和配置，如端口镜像，路由测试等，及时保障与省厅、公安的设备对接成功，提高网络使用效率和质量。</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2、对机房汇聚</w:t>
            </w:r>
            <w:r>
              <w:rPr>
                <w:rFonts w:hint="eastAsia" w:ascii="宋体" w:hAnsi="宋体" w:eastAsia="宋体" w:cs="宋体"/>
                <w:color w:val="auto"/>
                <w:sz w:val="24"/>
                <w:szCs w:val="24"/>
                <w:lang w:eastAsia="zh-CN" w:bidi="ar"/>
              </w:rPr>
              <w:t>路由器和</w:t>
            </w:r>
            <w:r>
              <w:rPr>
                <w:rFonts w:hint="eastAsia" w:ascii="宋体" w:hAnsi="宋体" w:eastAsia="宋体" w:cs="宋体"/>
                <w:color w:val="auto"/>
                <w:sz w:val="24"/>
                <w:szCs w:val="24"/>
                <w:lang w:bidi="ar"/>
              </w:rPr>
              <w:t>交换机根据用户提交需求进行维护和配置，如端口配置、VLAN变更、VLAN间互访、IP地址变更、路由状态检测、各级单位与机房汇聚交换机连接状态检查，协助用户和运营商配置汇聚交换机到四市三区的网络链路冗余，定期测试链路冗余的可用性。</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3、对设备出现的故障提供运维处理服务，提交检测报告和解决方案，协助用户及时解除各类故障对业务的影响，缩小影响时间，提高服务保障。</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4、及时记录网络变更情况，做好交换设备定期备份配置工作，有更新要及时备份。</w:t>
            </w:r>
          </w:p>
          <w:p>
            <w:pPr>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5、建立管理文件夹，有序存放配置备份文件，方便管理和使用。</w:t>
            </w:r>
          </w:p>
        </w:tc>
        <w:tc>
          <w:tcPr>
            <w:tcW w:w="846" w:type="dxa"/>
            <w:vMerge w:val="restart"/>
            <w:tcBorders>
              <w:top w:val="single" w:color="auto" w:sz="4" w:space="0"/>
              <w:left w:val="single" w:color="000000" w:sz="4" w:space="0"/>
              <w:right w:val="single" w:color="000000" w:sz="4" w:space="0"/>
            </w:tcBorders>
            <w:shd w:val="clear" w:color="auto" w:fill="auto"/>
            <w:vAlign w:val="center"/>
          </w:tcPr>
          <w:p>
            <w:pPr>
              <w:pStyle w:val="2"/>
              <w:ind w:left="0" w:leftChars="0" w:firstLine="0" w:firstLineChars="0"/>
              <w:rPr>
                <w:rFonts w:hint="eastAsia" w:ascii="宋体" w:hAnsi="宋体" w:eastAsia="宋体" w:cs="宋体"/>
                <w:color w:val="auto"/>
                <w:sz w:val="24"/>
                <w:szCs w:val="24"/>
              </w:rPr>
            </w:pPr>
          </w:p>
        </w:tc>
      </w:tr>
      <w:tr>
        <w:trPr>
          <w:trHeight w:val="540" w:hRule="atLeast"/>
          <w:jc w:val="center"/>
        </w:trPr>
        <w:tc>
          <w:tcPr>
            <w:tcW w:w="735" w:type="dxa"/>
            <w:vMerge w:val="continue"/>
            <w:tcBorders>
              <w:left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lang w:bidi="ar"/>
              </w:rPr>
            </w:pPr>
          </w:p>
        </w:tc>
        <w:tc>
          <w:tcPr>
            <w:tcW w:w="129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lang w:bidi="ar"/>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节点路由器</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lang w:val="en-US" w:eastAsia="zh-CN" w:bidi="ar"/>
              </w:rPr>
            </w:pPr>
            <w:r>
              <w:rPr>
                <w:rFonts w:hint="eastAsia" w:ascii="宋体" w:hAnsi="宋体" w:eastAsia="宋体" w:cs="宋体"/>
                <w:color w:val="auto"/>
                <w:sz w:val="24"/>
                <w:szCs w:val="24"/>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台</w:t>
            </w:r>
          </w:p>
        </w:tc>
        <w:tc>
          <w:tcPr>
            <w:tcW w:w="3516" w:type="dxa"/>
            <w:vMerge w:val="continue"/>
            <w:tcBorders>
              <w:left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4"/>
                <w:szCs w:val="24"/>
                <w:lang w:bidi="ar"/>
              </w:rPr>
            </w:pPr>
          </w:p>
        </w:tc>
        <w:tc>
          <w:tcPr>
            <w:tcW w:w="846" w:type="dxa"/>
            <w:vMerge w:val="continue"/>
            <w:tcBorders>
              <w:left w:val="single" w:color="000000" w:sz="4" w:space="0"/>
              <w:right w:val="single" w:color="000000" w:sz="4" w:space="0"/>
            </w:tcBorders>
            <w:shd w:val="clear" w:color="auto" w:fill="auto"/>
            <w:vAlign w:val="center"/>
          </w:tcPr>
          <w:p>
            <w:pPr>
              <w:pStyle w:val="2"/>
              <w:rPr>
                <w:rFonts w:hint="eastAsia" w:ascii="宋体" w:hAnsi="宋体" w:eastAsia="宋体" w:cs="宋体"/>
                <w:sz w:val="24"/>
                <w:szCs w:val="24"/>
              </w:rPr>
            </w:pPr>
          </w:p>
        </w:tc>
      </w:tr>
      <w:tr>
        <w:tblPrEx>
          <w:tblCellMar>
            <w:top w:w="15" w:type="dxa"/>
            <w:left w:w="15" w:type="dxa"/>
            <w:bottom w:w="15" w:type="dxa"/>
            <w:right w:w="15" w:type="dxa"/>
          </w:tblCellMar>
        </w:tblPrEx>
        <w:trPr>
          <w:trHeight w:val="540" w:hRule="atLeast"/>
          <w:jc w:val="center"/>
        </w:trPr>
        <w:tc>
          <w:tcPr>
            <w:tcW w:w="735" w:type="dxa"/>
            <w:vMerge w:val="continue"/>
            <w:tcBorders>
              <w:left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p>
        </w:tc>
        <w:tc>
          <w:tcPr>
            <w:tcW w:w="129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核心交换机</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left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4"/>
                <w:szCs w:val="24"/>
              </w:rPr>
            </w:pPr>
          </w:p>
        </w:tc>
        <w:tc>
          <w:tcPr>
            <w:tcW w:w="846" w:type="dxa"/>
            <w:vMerge w:val="continue"/>
            <w:tcBorders>
              <w:left w:val="single" w:color="000000" w:sz="4" w:space="0"/>
              <w:right w:val="single" w:color="000000" w:sz="4" w:space="0"/>
            </w:tcBorders>
            <w:shd w:val="clear" w:color="auto" w:fill="auto"/>
            <w:vAlign w:val="center"/>
          </w:tcPr>
          <w:p>
            <w:pPr>
              <w:pStyle w:val="2"/>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540" w:hRule="atLeast"/>
          <w:jc w:val="center"/>
        </w:trPr>
        <w:tc>
          <w:tcPr>
            <w:tcW w:w="735" w:type="dxa"/>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汇聚交换机</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1</w:t>
            </w:r>
            <w:r>
              <w:rPr>
                <w:rFonts w:hint="eastAsia" w:ascii="宋体" w:hAnsi="宋体" w:eastAsia="宋体" w:cs="宋体"/>
                <w:color w:val="auto"/>
                <w:sz w:val="24"/>
                <w:szCs w:val="24"/>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left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left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285" w:hRule="atLeast"/>
          <w:jc w:val="center"/>
        </w:trPr>
        <w:tc>
          <w:tcPr>
            <w:tcW w:w="735" w:type="dxa"/>
            <w:vMerge w:val="continue"/>
            <w:tcBorders>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接入交换机</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540" w:hRule="atLeast"/>
          <w:jc w:val="center"/>
        </w:trPr>
        <w:tc>
          <w:tcPr>
            <w:tcW w:w="735" w:type="dxa"/>
            <w:vMerge w:val="restart"/>
            <w:tcBorders>
              <w:top w:val="single" w:color="000000" w:sz="4" w:space="0"/>
              <w:left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4</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机房关键设备运维</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防火墙1</w:t>
            </w:r>
          </w:p>
        </w:tc>
        <w:tc>
          <w:tcPr>
            <w:tcW w:w="7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1、专业服务人员每周升级IPS入侵防御、WAF应用防火墙规则库；</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2、根据用户提交需求进行维护和配置，日常运维若发现异常事件故障及时记录，立即向用户提交异常报告情况及解决方案，方案得到用户确认和授权后，与相关人员及时处理异常事件，必要封禁异常IP地址，事后提交处理报告。</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3、根据业务系统的具体需求，定期提交优化方案，方案得到用户确认和授权后，及时优化调整安全策略，提升防护能力。</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4、及时记录网络变更情况，记录设备的现行策略配置形成excel文件存档并备份配置文件，配置文件规则库文档进行每周更新。</w:t>
            </w:r>
          </w:p>
          <w:p>
            <w:pPr>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5、设立管理文件夹，有序存放配置备份文件，方便管理和使用。</w:t>
            </w:r>
          </w:p>
        </w:tc>
        <w:tc>
          <w:tcPr>
            <w:tcW w:w="846"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540" w:hRule="atLeast"/>
          <w:jc w:val="center"/>
        </w:trPr>
        <w:tc>
          <w:tcPr>
            <w:tcW w:w="735" w:type="dxa"/>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防火墙2</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540" w:hRule="atLeast"/>
          <w:jc w:val="center"/>
        </w:trPr>
        <w:tc>
          <w:tcPr>
            <w:tcW w:w="735" w:type="dxa"/>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WAF应用防火墙</w:t>
            </w:r>
          </w:p>
        </w:tc>
        <w:tc>
          <w:tcPr>
            <w:tcW w:w="719" w:type="dxa"/>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540" w:hRule="atLeast"/>
          <w:jc w:val="center"/>
        </w:trPr>
        <w:tc>
          <w:tcPr>
            <w:tcW w:w="735" w:type="dxa"/>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IPS入侵防御</w:t>
            </w:r>
            <w:r>
              <w:rPr>
                <w:rFonts w:hint="eastAsia" w:ascii="宋体" w:hAnsi="宋体" w:eastAsia="宋体" w:cs="宋体"/>
                <w:color w:val="auto"/>
                <w:sz w:val="24"/>
                <w:szCs w:val="24"/>
                <w:lang w:val="en-US" w:eastAsia="zh-CN" w:bidi="ar"/>
              </w:rPr>
              <w:t>1</w:t>
            </w:r>
          </w:p>
        </w:tc>
        <w:tc>
          <w:tcPr>
            <w:tcW w:w="719" w:type="dxa"/>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540" w:hRule="atLeast"/>
          <w:jc w:val="center"/>
        </w:trPr>
        <w:tc>
          <w:tcPr>
            <w:tcW w:w="735" w:type="dxa"/>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抗DDOS防护设备</w:t>
            </w:r>
          </w:p>
        </w:tc>
        <w:tc>
          <w:tcPr>
            <w:tcW w:w="719" w:type="dxa"/>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540" w:hRule="atLeast"/>
          <w:jc w:val="center"/>
        </w:trPr>
        <w:tc>
          <w:tcPr>
            <w:tcW w:w="735" w:type="dxa"/>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IPS入侵防御</w:t>
            </w:r>
            <w:r>
              <w:rPr>
                <w:rFonts w:hint="eastAsia" w:ascii="宋体" w:hAnsi="宋体" w:eastAsia="宋体" w:cs="宋体"/>
                <w:color w:val="auto"/>
                <w:sz w:val="24"/>
                <w:szCs w:val="24"/>
                <w:lang w:val="en-US" w:eastAsia="zh-CN" w:bidi="ar"/>
              </w:rPr>
              <w:t>2</w:t>
            </w:r>
          </w:p>
        </w:tc>
        <w:tc>
          <w:tcPr>
            <w:tcW w:w="719" w:type="dxa"/>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285" w:hRule="atLeast"/>
          <w:jc w:val="center"/>
        </w:trPr>
        <w:tc>
          <w:tcPr>
            <w:tcW w:w="735" w:type="dxa"/>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内网防火墙</w:t>
            </w:r>
            <w:r>
              <w:rPr>
                <w:rFonts w:hint="eastAsia" w:ascii="宋体" w:hAnsi="宋体" w:eastAsia="宋体" w:cs="宋体"/>
                <w:color w:val="auto"/>
                <w:sz w:val="24"/>
                <w:szCs w:val="24"/>
                <w:lang w:val="en-US" w:eastAsia="zh-CN" w:bidi="ar"/>
              </w:rPr>
              <w:t>1</w:t>
            </w:r>
          </w:p>
        </w:tc>
        <w:tc>
          <w:tcPr>
            <w:tcW w:w="719" w:type="dxa"/>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285" w:hRule="atLeast"/>
          <w:jc w:val="center"/>
        </w:trPr>
        <w:tc>
          <w:tcPr>
            <w:tcW w:w="735" w:type="dxa"/>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内网防火墙</w:t>
            </w:r>
            <w:r>
              <w:rPr>
                <w:rFonts w:hint="eastAsia" w:ascii="宋体" w:hAnsi="宋体" w:eastAsia="宋体" w:cs="宋体"/>
                <w:color w:val="auto"/>
                <w:sz w:val="24"/>
                <w:szCs w:val="24"/>
                <w:lang w:val="en-US" w:eastAsia="zh-CN" w:bidi="ar"/>
              </w:rPr>
              <w:t>2</w:t>
            </w:r>
          </w:p>
        </w:tc>
        <w:tc>
          <w:tcPr>
            <w:tcW w:w="719" w:type="dxa"/>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285" w:hRule="atLeast"/>
          <w:jc w:val="center"/>
        </w:trPr>
        <w:tc>
          <w:tcPr>
            <w:tcW w:w="735" w:type="dxa"/>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VPN网关</w:t>
            </w:r>
          </w:p>
        </w:tc>
        <w:tc>
          <w:tcPr>
            <w:tcW w:w="719" w:type="dxa"/>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bidi="ar"/>
              </w:rPr>
              <w:t>4</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285" w:hRule="atLeast"/>
          <w:jc w:val="center"/>
        </w:trPr>
        <w:tc>
          <w:tcPr>
            <w:tcW w:w="735" w:type="dxa"/>
            <w:vMerge w:val="continue"/>
            <w:tcBorders>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其它安全设备</w:t>
            </w:r>
          </w:p>
        </w:tc>
        <w:tc>
          <w:tcPr>
            <w:tcW w:w="719" w:type="dxa"/>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12台</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162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5</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托管服务器维护</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信息系统服务器运维</w:t>
            </w:r>
          </w:p>
        </w:tc>
        <w:tc>
          <w:tcPr>
            <w:tcW w:w="719" w:type="dxa"/>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7</w:t>
            </w:r>
            <w:r>
              <w:rPr>
                <w:rFonts w:hint="eastAsia" w:ascii="宋体" w:hAnsi="宋体" w:eastAsia="宋体" w:cs="宋体"/>
                <w:color w:val="auto"/>
                <w:sz w:val="24"/>
                <w:szCs w:val="24"/>
                <w:lang w:val="en-US" w:eastAsia="zh-CN" w:bidi="ar"/>
              </w:rPr>
              <w:t>0</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tcBorders>
              <w:top w:val="single" w:color="auto"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1、服务器操作系统的运维服务包括系统问题分析、开放服务检查、系统自身漏洞检查、漏洞补丁定期更新、病毒库定期更新，服务器是软硬件设备故障维修，建立详细运维记录台账。</w:t>
            </w:r>
          </w:p>
          <w:p>
            <w:pPr>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2、定期进行预防性杀毒及补丁更新，每周提交运维台账资料。</w:t>
            </w:r>
          </w:p>
        </w:tc>
        <w:tc>
          <w:tcPr>
            <w:tcW w:w="846" w:type="dxa"/>
            <w:tcBorders>
              <w:top w:val="single" w:color="auto"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810" w:hRule="atLeast"/>
          <w:jc w:val="center"/>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6</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存储设备</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双活异地冗灾存储</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套</w:t>
            </w:r>
          </w:p>
        </w:tc>
        <w:tc>
          <w:tcPr>
            <w:tcW w:w="35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1、定期检测各光纤交换机的端口级联状态，级联光纤交换机之间通信是否正常，根据用户设备变更需求优化调整服务器和存储ZONE资源配置，并备份配置信息；</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2、定期检测双活存储节点的同步状态及链路冗余状态，各节点存储控制器的链路状态信息、磁盘状态及阵列信息、电源状态信息，根据用户需求对存储卷做映射配置、资源调整；</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3、定期检测存储控制器的链路状态信息、磁盘状态及阵列信息、电源状态信息，根据用户需求对存储做卷映射配置、资源调整；</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4、对设备出现的故障提供运维处理服务，提交检测报告和解决方案，协助用户及时解除各类故障对业务的影响，缩小影响时间，提高服务保障。</w:t>
            </w:r>
          </w:p>
          <w:p>
            <w:pPr>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5、根据运维服务内容，每季度提交运维报告。</w:t>
            </w: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540"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双活冗灾存储</w:t>
            </w:r>
          </w:p>
        </w:tc>
        <w:tc>
          <w:tcPr>
            <w:tcW w:w="7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套</w:t>
            </w:r>
          </w:p>
        </w:tc>
        <w:tc>
          <w:tcPr>
            <w:tcW w:w="3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285"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存储</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套</w:t>
            </w:r>
          </w:p>
        </w:tc>
        <w:tc>
          <w:tcPr>
            <w:tcW w:w="3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285"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备份存储</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bidi="ar"/>
              </w:rPr>
              <w:t>3</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套</w:t>
            </w:r>
          </w:p>
        </w:tc>
        <w:tc>
          <w:tcPr>
            <w:tcW w:w="3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rPr>
          <w:trHeight w:val="285"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光纤交换机</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285" w:hRule="atLeast"/>
          <w:jc w:val="center"/>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7</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虚拟化ESXI主机</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服务器1</w:t>
            </w:r>
          </w:p>
        </w:tc>
        <w:tc>
          <w:tcPr>
            <w:tcW w:w="7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7</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1、定期检测ESXI主机的电源、硬盘及和指示灯的状态信息并做好故障处置；</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2、根据需求配置服务器与存储的磁盘卷映射，并记录好相关信息；</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3、根据ESXI主机CPU、内存资源的使用状态合理调整ESXI主机的虚拟机分配；</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4、对设备出现的故障提供运维处理服务，提交检测报告和解决方案，协助用户及时解除各类故障对业务的影响，缩小影响时间，提高服务保障。</w:t>
            </w:r>
          </w:p>
          <w:p>
            <w:pPr>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5、根据运维服务内容，每周提交台账更新资料；</w:t>
            </w: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285"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服务器2</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285"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服务器3</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11</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285"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服务器4</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6</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rPr>
          <w:trHeight w:val="189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8</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VMware vCenter</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服务器5</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定期检查VMware vCenter主机的系统状态及硬盘、电源指示灯状态并做记录并做好故障处置，根据需求增加ESXI主机到VMware群集；每周提交台账更新资料。对设备出现的故障提供运维处理服务，提交检测报告和解决方案，协助用户及时解除各类故障对业务的影响，缩小影响时间，提高服务保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285" w:hRule="atLeast"/>
          <w:jc w:val="center"/>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9</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VMware vSphere</w:t>
            </w:r>
          </w:p>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Client</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服务器6</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定期检查VMware vSphere Client主机的系统状态及硬盘、电源指示灯状态信息并做好故障处置，每周提交台账更新资料。</w:t>
            </w: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285"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服务器7</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台</w:t>
            </w:r>
          </w:p>
        </w:tc>
        <w:tc>
          <w:tcPr>
            <w:tcW w:w="3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810" w:hRule="atLeast"/>
          <w:jc w:val="center"/>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10</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VMware</w:t>
            </w:r>
          </w:p>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虚拟化群集</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关键业务信息系统镜像备份</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项</w:t>
            </w:r>
          </w:p>
        </w:tc>
        <w:tc>
          <w:tcPr>
            <w:tcW w:w="351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1、关键业务系统30个，周/次；</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2、中等业务系统30个，月/次；</w:t>
            </w:r>
          </w:p>
          <w:p>
            <w:pPr>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3、其余季/次</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1155"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信息系统季度运维（业务系统</w:t>
            </w:r>
            <w:r>
              <w:rPr>
                <w:rFonts w:hint="eastAsia" w:ascii="宋体" w:hAnsi="宋体" w:eastAsia="宋体" w:cs="宋体"/>
                <w:color w:val="auto"/>
                <w:sz w:val="24"/>
                <w:szCs w:val="24"/>
                <w:lang w:eastAsia="zh-CN" w:bidi="ar"/>
              </w:rPr>
              <w:t>2</w:t>
            </w:r>
            <w:r>
              <w:rPr>
                <w:rFonts w:hint="eastAsia" w:ascii="宋体" w:hAnsi="宋体" w:eastAsia="宋体" w:cs="宋体"/>
                <w:color w:val="auto"/>
                <w:sz w:val="24"/>
                <w:szCs w:val="24"/>
                <w:lang w:val="en-US" w:eastAsia="zh-CN" w:bidi="ar"/>
              </w:rPr>
              <w:t>85</w:t>
            </w:r>
            <w:r>
              <w:rPr>
                <w:rFonts w:hint="eastAsia" w:ascii="宋体" w:hAnsi="宋体" w:eastAsia="宋体" w:cs="宋体"/>
                <w:color w:val="auto"/>
                <w:sz w:val="24"/>
                <w:szCs w:val="24"/>
                <w:lang w:bidi="ar"/>
              </w:rPr>
              <w:t>套，虚拟机数量5</w:t>
            </w:r>
            <w:r>
              <w:rPr>
                <w:rFonts w:hint="eastAsia" w:ascii="宋体" w:hAnsi="宋体" w:eastAsia="宋体" w:cs="宋体"/>
                <w:color w:val="auto"/>
                <w:sz w:val="24"/>
                <w:szCs w:val="24"/>
                <w:lang w:eastAsia="zh-CN" w:bidi="ar"/>
              </w:rPr>
              <w:t>4</w:t>
            </w:r>
            <w:r>
              <w:rPr>
                <w:rFonts w:hint="eastAsia" w:ascii="宋体" w:hAnsi="宋体" w:eastAsia="宋体" w:cs="宋体"/>
                <w:color w:val="auto"/>
                <w:sz w:val="24"/>
                <w:szCs w:val="24"/>
                <w:lang w:val="en-US" w:eastAsia="zh-CN" w:bidi="ar"/>
              </w:rPr>
              <w:t>8</w:t>
            </w:r>
            <w:r>
              <w:rPr>
                <w:rFonts w:hint="eastAsia" w:ascii="宋体" w:hAnsi="宋体" w:eastAsia="宋体" w:cs="宋体"/>
                <w:color w:val="auto"/>
                <w:sz w:val="24"/>
                <w:szCs w:val="24"/>
                <w:lang w:bidi="ar"/>
              </w:rPr>
              <w:t>台）</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项</w:t>
            </w:r>
          </w:p>
        </w:tc>
        <w:tc>
          <w:tcPr>
            <w:tcW w:w="351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1、按季度对电子政务网的业务系统虚拟机进行专业运维（系统运行，补丁、杀毒软件更新等），对系统警告、异常情况、错误信息进行分析，提供相关的巡检报告；</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2、对服务器系统进行评估加固，根据分析结果对IIS业务应用的调整和优化；对虚拟机系统做季度备份，定期的技术交流；</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3、对自建的Vmware云计算机平台相关设备进行清算登记，平台所有硬件设备和虚拟机性能进行分析，统计使用单位和虚拟机信息系统情况，1次/周进行巡检工作并形成报告上交。</w:t>
            </w:r>
          </w:p>
          <w:p>
            <w:pPr>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4、对设备出现的故障提供运维处理服务，提交检测报告和解决方案，协助用户及时解除各类故障对业务的影响，缩小影响时间，提高服务保障。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810" w:hRule="atLeast"/>
          <w:jc w:val="center"/>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11</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网管监控系统</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网络监控系统运维（190台设备）</w:t>
            </w:r>
          </w:p>
        </w:tc>
        <w:tc>
          <w:tcPr>
            <w:tcW w:w="719" w:type="dxa"/>
            <w:tcBorders>
              <w:top w:val="single" w:color="000000" w:sz="4" w:space="0"/>
              <w:left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项</w:t>
            </w:r>
          </w:p>
        </w:tc>
        <w:tc>
          <w:tcPr>
            <w:tcW w:w="35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1、定期查看网络监控系统的运行状态，发现链路异常及时协助处理，并根据用户要求更新网络拓扑结构并保存配置。</w:t>
            </w:r>
          </w:p>
          <w:p>
            <w:pPr>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2、定期对电子政务机房内更新的服务器操作系统安装Zabbix agent客户端，并接入Zabbix网管监控平台进行监控，处理相关事件。</w:t>
            </w:r>
          </w:p>
        </w:tc>
        <w:tc>
          <w:tcPr>
            <w:tcW w:w="846" w:type="dxa"/>
            <w:vMerge w:val="restart"/>
            <w:tcBorders>
              <w:top w:val="single" w:color="000000" w:sz="4" w:space="0"/>
              <w:left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540"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4"/>
                <w:szCs w:val="24"/>
              </w:rPr>
            </w:pPr>
          </w:p>
        </w:tc>
        <w:tc>
          <w:tcPr>
            <w:tcW w:w="1290"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rPr>
            </w:pPr>
          </w:p>
        </w:tc>
        <w:tc>
          <w:tcPr>
            <w:tcW w:w="1382"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网管系统运维</w:t>
            </w:r>
          </w:p>
        </w:tc>
        <w:tc>
          <w:tcPr>
            <w:tcW w:w="719"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w:t>
            </w:r>
          </w:p>
        </w:tc>
        <w:tc>
          <w:tcPr>
            <w:tcW w:w="631"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项</w:t>
            </w:r>
          </w:p>
        </w:tc>
        <w:tc>
          <w:tcPr>
            <w:tcW w:w="3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c>
          <w:tcPr>
            <w:tcW w:w="846" w:type="dxa"/>
            <w:vMerge w:val="continue"/>
            <w:tcBorders>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2376" w:hRule="atLeast"/>
          <w:jc w:val="center"/>
        </w:trPr>
        <w:tc>
          <w:tcPr>
            <w:tcW w:w="735" w:type="dxa"/>
            <w:tcBorders>
              <w:top w:val="single" w:color="000000" w:sz="4" w:space="0"/>
              <w:left w:val="single" w:color="000000" w:sz="4" w:space="0"/>
              <w:bottom w:val="single" w:color="000000" w:sz="4" w:space="0"/>
              <w:right w:val="single" w:color="auto"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12</w:t>
            </w:r>
          </w:p>
        </w:tc>
        <w:tc>
          <w:tcPr>
            <w:tcW w:w="12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基础网络环境的日常运维</w:t>
            </w:r>
          </w:p>
        </w:tc>
        <w:tc>
          <w:tcPr>
            <w:tcW w:w="13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机柜和物理链路</w:t>
            </w:r>
          </w:p>
        </w:tc>
        <w:tc>
          <w:tcPr>
            <w:tcW w:w="71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w:t>
            </w:r>
          </w:p>
        </w:tc>
        <w:tc>
          <w:tcPr>
            <w:tcW w:w="6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项</w:t>
            </w:r>
          </w:p>
        </w:tc>
        <w:tc>
          <w:tcPr>
            <w:tcW w:w="3516" w:type="dxa"/>
            <w:tcBorders>
              <w:top w:val="single" w:color="000000" w:sz="4" w:space="0"/>
              <w:left w:val="single" w:color="auto"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提供网络双绞线链路、光纤跳线链路、机柜和设备间的维护服务。包括日常故障处理、应急故障处理、定期巡检等。包括：</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1、对设备机柜进行统一管理，统一编号登记，检查机柜接地、电源和插座情况等，以及配合信息中心进行设备更新、设备替换等工作；</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2、网络传输线路的维护和修复，包括线路测试、标签、整理、端接、管槽维护、线路修复、设备区接口修复等；机柜到工作区端跳线，配线架到交换机跳线；机柜配线架和标识等；</w:t>
            </w:r>
          </w:p>
          <w:p>
            <w:pPr>
              <w:spacing w:line="360" w:lineRule="auto"/>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bidi="ar"/>
              </w:rPr>
              <w:t>3、日常线缆整理服务。提供机柜、设备间等线路端接密集位置的线缆整理服务，包括各种通信铜缆、光纤、电源线缆等线缆的整理、线缆统一配置、增加线缆过线槽、设备位置调整、线缆标签、设备标签、整理线缆管理文档等服务，以便实现网络管理和服务精细化；</w:t>
            </w:r>
          </w:p>
          <w:p>
            <w:pPr>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4、线缆标签和管理服务。提供各种线缆标签、设备标签、端接位置标签、资产标签等各种标签和管理服务。内容包括收集需要标签对象的各种资料；定义标签编码方式，制定标签管理方案；标签打印和标贴。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卫生云相关设备、浪潮云相关设备、UPS供电系统、精密空调、环境监控系统不在本维护内</w:t>
            </w:r>
          </w:p>
        </w:tc>
      </w:tr>
      <w:tr>
        <w:tblPrEx>
          <w:tblCellMar>
            <w:top w:w="15" w:type="dxa"/>
            <w:left w:w="15" w:type="dxa"/>
            <w:bottom w:w="15" w:type="dxa"/>
            <w:right w:w="15" w:type="dxa"/>
          </w:tblCellMar>
        </w:tblPrEx>
        <w:trPr>
          <w:trHeight w:val="108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13</w:t>
            </w:r>
          </w:p>
        </w:tc>
        <w:tc>
          <w:tcPr>
            <w:tcW w:w="129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机房应急响应处置</w:t>
            </w:r>
          </w:p>
        </w:tc>
        <w:tc>
          <w:tcPr>
            <w:tcW w:w="1382"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应急响应处置</w:t>
            </w:r>
          </w:p>
        </w:tc>
        <w:tc>
          <w:tcPr>
            <w:tcW w:w="719" w:type="dxa"/>
            <w:tcBorders>
              <w:top w:val="single" w:color="auto"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w:t>
            </w:r>
          </w:p>
        </w:tc>
        <w:tc>
          <w:tcPr>
            <w:tcW w:w="631" w:type="dxa"/>
            <w:tcBorders>
              <w:top w:val="single" w:color="auto"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项</w:t>
            </w:r>
          </w:p>
        </w:tc>
        <w:tc>
          <w:tcPr>
            <w:tcW w:w="351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负责提供7×24小时专人应急服务热线，接到应急报障后，按照江门市</w:t>
            </w:r>
            <w:r>
              <w:rPr>
                <w:rFonts w:hint="eastAsia" w:ascii="宋体" w:hAnsi="宋体" w:eastAsia="宋体" w:cs="宋体"/>
                <w:color w:val="auto"/>
                <w:sz w:val="24"/>
                <w:szCs w:val="24"/>
                <w:lang w:eastAsia="zh-CN" w:bidi="ar"/>
              </w:rPr>
              <w:t>大数据管理</w:t>
            </w:r>
            <w:r>
              <w:rPr>
                <w:rFonts w:hint="eastAsia" w:ascii="宋体" w:hAnsi="宋体" w:eastAsia="宋体" w:cs="宋体"/>
                <w:color w:val="auto"/>
                <w:sz w:val="24"/>
                <w:szCs w:val="24"/>
                <w:lang w:bidi="ar"/>
              </w:rPr>
              <w:t>中心的安排，在发生重大事件、防风抗灾等期间，迅速派出应急队伍，安排专业工程师到机房现场随时响应。</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r>
        <w:tblPrEx>
          <w:tblCellMar>
            <w:top w:w="15" w:type="dxa"/>
            <w:left w:w="15" w:type="dxa"/>
            <w:bottom w:w="15" w:type="dxa"/>
            <w:right w:w="15" w:type="dxa"/>
          </w:tblCellMar>
        </w:tblPrEx>
        <w:trPr>
          <w:trHeight w:val="108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14</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驻场维护</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工程师驻场</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项</w:t>
            </w:r>
          </w:p>
        </w:tc>
        <w:tc>
          <w:tcPr>
            <w:tcW w:w="351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选派专业技术人员1名到江门市</w:t>
            </w:r>
            <w:r>
              <w:rPr>
                <w:rFonts w:hint="eastAsia" w:ascii="宋体" w:hAnsi="宋体" w:eastAsia="宋体" w:cs="宋体"/>
                <w:color w:val="auto"/>
                <w:sz w:val="24"/>
                <w:szCs w:val="24"/>
                <w:lang w:eastAsia="zh-CN" w:bidi="ar"/>
              </w:rPr>
              <w:t>大数据管理</w:t>
            </w:r>
            <w:r>
              <w:rPr>
                <w:rFonts w:hint="eastAsia" w:ascii="宋体" w:hAnsi="宋体" w:eastAsia="宋体" w:cs="宋体"/>
                <w:color w:val="auto"/>
                <w:sz w:val="24"/>
                <w:szCs w:val="24"/>
                <w:lang w:bidi="ar"/>
              </w:rPr>
              <w:t>中心驻点，制订及遵守各项规章制度和安全保密规定，提供按照江门市</w:t>
            </w:r>
            <w:r>
              <w:rPr>
                <w:rFonts w:hint="eastAsia" w:ascii="宋体" w:hAnsi="宋体" w:eastAsia="宋体" w:cs="宋体"/>
                <w:color w:val="auto"/>
                <w:sz w:val="24"/>
                <w:szCs w:val="24"/>
                <w:lang w:eastAsia="zh-CN" w:bidi="ar"/>
              </w:rPr>
              <w:t>大数据管理</w:t>
            </w:r>
            <w:r>
              <w:rPr>
                <w:rFonts w:hint="eastAsia" w:ascii="宋体" w:hAnsi="宋体" w:eastAsia="宋体" w:cs="宋体"/>
                <w:color w:val="auto"/>
                <w:sz w:val="24"/>
                <w:szCs w:val="24"/>
                <w:lang w:bidi="ar"/>
              </w:rPr>
              <w:t>中心上下班时间作息，应服从安排。</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4"/>
                <w:szCs w:val="24"/>
              </w:rPr>
            </w:pPr>
          </w:p>
        </w:tc>
      </w:tr>
    </w:tbl>
    <w:p>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eastAsia"/>
          <w:lang w:val="en-US" w:eastAsia="zh-CN"/>
        </w:rPr>
      </w:pPr>
    </w:p>
    <w:p>
      <w:pPr>
        <w:numPr>
          <w:ilvl w:val="0"/>
          <w:numId w:val="0"/>
        </w:numPr>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五、运维服务要求</w:t>
      </w:r>
    </w:p>
    <w:p>
      <w:pPr>
        <w:pStyle w:val="6"/>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theme="minorBidi"/>
          <w:color w:val="auto"/>
          <w:spacing w:val="10"/>
          <w:kern w:val="0"/>
          <w:sz w:val="28"/>
          <w:szCs w:val="28"/>
          <w:lang w:val="en-US" w:eastAsia="zh-CN" w:bidi="ar-SA"/>
        </w:rPr>
      </w:pPr>
      <w:r>
        <w:rPr>
          <w:rFonts w:hint="eastAsia" w:ascii="仿宋" w:hAnsi="仿宋" w:eastAsia="仿宋" w:cstheme="minorBidi"/>
          <w:color w:val="auto"/>
          <w:spacing w:val="10"/>
          <w:kern w:val="0"/>
          <w:sz w:val="28"/>
          <w:szCs w:val="28"/>
          <w:lang w:val="en-US" w:eastAsia="zh-CN" w:bidi="ar-SA"/>
        </w:rPr>
        <w:t>（一）服务响应：5*8小时驻场管理/上门服务，7*24小时应急维护和技术支持，7*24小时热线电话技术支持服务。</w:t>
      </w:r>
    </w:p>
    <w:p>
      <w:pPr>
        <w:pStyle w:val="6"/>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theme="minorBidi"/>
          <w:color w:val="auto"/>
          <w:spacing w:val="10"/>
          <w:kern w:val="0"/>
          <w:sz w:val="28"/>
          <w:szCs w:val="28"/>
          <w:lang w:val="en-US" w:eastAsia="zh-CN" w:bidi="ar-SA"/>
        </w:rPr>
      </w:pPr>
      <w:r>
        <w:rPr>
          <w:rFonts w:hint="eastAsia" w:ascii="仿宋" w:hAnsi="仿宋" w:eastAsia="仿宋" w:cstheme="minorBidi"/>
          <w:color w:val="auto"/>
          <w:spacing w:val="10"/>
          <w:kern w:val="0"/>
          <w:sz w:val="28"/>
          <w:szCs w:val="28"/>
          <w:lang w:val="en-US" w:eastAsia="zh-CN" w:bidi="ar-SA"/>
        </w:rPr>
        <w:t>（二）工作时间：运维服务时间以正常工作时间需要为参考，工程师驻点/上门现场正常工作时间（上午8：30－12：00，下午14：30－17：30）为准。如有特殊情况在非正常工作时间内的维护工作，必须配合开展工作。</w:t>
      </w:r>
    </w:p>
    <w:p>
      <w:pPr>
        <w:pStyle w:val="11"/>
        <w:spacing w:line="276" w:lineRule="auto"/>
        <w:ind w:firstLine="640"/>
        <w:rPr>
          <w:rFonts w:hint="default" w:ascii="仿宋" w:hAnsi="仿宋" w:eastAsia="仿宋" w:cs="仿宋"/>
          <w:b w:val="0"/>
          <w:bCs w:val="0"/>
          <w:color w:val="auto"/>
          <w:kern w:val="2"/>
          <w:sz w:val="28"/>
          <w:szCs w:val="28"/>
          <w:highlight w:val="none"/>
          <w:lang w:val="en-US" w:eastAsia="zh-CN" w:bidi="ar-SA"/>
        </w:rPr>
      </w:pPr>
      <w:r>
        <w:rPr>
          <w:rFonts w:hint="eastAsia" w:ascii="仿宋" w:hAnsi="仿宋" w:eastAsia="仿宋" w:cstheme="minorBidi"/>
          <w:color w:val="auto"/>
          <w:spacing w:val="10"/>
          <w:kern w:val="0"/>
          <w:sz w:val="28"/>
          <w:szCs w:val="28"/>
          <w:lang w:val="en-US" w:eastAsia="zh-CN" w:bidi="ar-SA"/>
        </w:rPr>
        <w:t>（三）故障运维：日常故障处理按照事故等级和处理标准处理；紧急故障应急处理，工作日2 小时内响应到位，非工作日 4 小时内响应到位，响应到位起 24 -48小时内提交故障诊断报告、具体解决方案及完成故障处理。</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六、项目预算</w:t>
      </w:r>
    </w:p>
    <w:p>
      <w:pPr>
        <w:pStyle w:val="14"/>
        <w:spacing w:line="360" w:lineRule="auto"/>
        <w:ind w:firstLine="560"/>
        <w:rPr>
          <w:rFonts w:ascii="仿宋" w:hAnsi="仿宋" w:eastAsia="仿宋" w:cs="仿宋"/>
          <w:sz w:val="28"/>
          <w:szCs w:val="28"/>
        </w:rPr>
      </w:pPr>
      <w:r>
        <w:rPr>
          <w:rFonts w:hint="eastAsia" w:ascii="仿宋" w:hAnsi="仿宋" w:eastAsia="仿宋" w:cs="仿宋"/>
          <w:sz w:val="28"/>
          <w:szCs w:val="28"/>
        </w:rPr>
        <w:t>（一）</w:t>
      </w:r>
      <w:r>
        <w:rPr>
          <w:rFonts w:hint="eastAsia" w:ascii="仿宋" w:hAnsi="仿宋" w:eastAsia="仿宋" w:cs="Arial"/>
          <w:sz w:val="28"/>
          <w:szCs w:val="28"/>
        </w:rPr>
        <w:t>本项目的采购预算为人民币</w:t>
      </w:r>
      <w:r>
        <w:rPr>
          <w:rFonts w:hint="eastAsia" w:ascii="仿宋" w:hAnsi="仿宋" w:eastAsia="仿宋" w:cs="Arial"/>
          <w:sz w:val="28"/>
          <w:szCs w:val="28"/>
          <w:lang w:val="en-US" w:eastAsia="zh-CN"/>
        </w:rPr>
        <w:t>15.3</w:t>
      </w:r>
      <w:r>
        <w:rPr>
          <w:rFonts w:hint="eastAsia" w:ascii="仿宋" w:hAnsi="仿宋" w:eastAsia="仿宋" w:cs="Arial"/>
          <w:sz w:val="28"/>
          <w:szCs w:val="28"/>
        </w:rPr>
        <w:t>万元</w:t>
      </w:r>
      <w:r>
        <w:rPr>
          <w:rFonts w:hint="eastAsia" w:ascii="仿宋" w:hAnsi="仿宋" w:eastAsia="仿宋" w:cs="Arial"/>
          <w:color w:val="000000"/>
          <w:sz w:val="28"/>
          <w:szCs w:val="28"/>
          <w:shd w:val="clear" w:color="auto" w:fill="FFFFFF"/>
        </w:rPr>
        <w:t>（含税）</w:t>
      </w:r>
      <w:r>
        <w:rPr>
          <w:rFonts w:hint="eastAsia" w:ascii="仿宋" w:hAnsi="仿宋" w:eastAsia="仿宋" w:cs="Arial"/>
          <w:sz w:val="28"/>
          <w:szCs w:val="28"/>
        </w:rPr>
        <w:t>，中</w:t>
      </w:r>
      <w:r>
        <w:rPr>
          <w:rFonts w:hint="eastAsia" w:ascii="仿宋" w:hAnsi="仿宋" w:eastAsia="仿宋" w:cs="仿宋"/>
          <w:sz w:val="28"/>
          <w:szCs w:val="28"/>
        </w:rPr>
        <w:t>选供应商需根据实际成交价提供相应税率的增值税专用发票。</w:t>
      </w:r>
    </w:p>
    <w:p>
      <w:pPr>
        <w:pStyle w:val="14"/>
        <w:spacing w:line="360" w:lineRule="auto"/>
        <w:ind w:firstLine="560"/>
        <w:rPr>
          <w:rFonts w:ascii="仿宋" w:hAnsi="仿宋" w:eastAsia="仿宋" w:cs="仿宋"/>
          <w:sz w:val="28"/>
          <w:szCs w:val="28"/>
        </w:rPr>
      </w:pPr>
      <w:r>
        <w:rPr>
          <w:rFonts w:hint="eastAsia" w:ascii="仿宋" w:hAnsi="仿宋" w:eastAsia="仿宋" w:cs="仿宋"/>
          <w:sz w:val="28"/>
          <w:szCs w:val="28"/>
        </w:rPr>
        <w:t>（二）支付方式</w:t>
      </w:r>
    </w:p>
    <w:p>
      <w:pPr>
        <w:pStyle w:val="14"/>
        <w:spacing w:line="360" w:lineRule="auto"/>
        <w:ind w:firstLine="560"/>
        <w:rPr>
          <w:rFonts w:ascii="仿宋" w:hAnsi="仿宋" w:eastAsia="仿宋" w:cs="仿宋"/>
          <w:sz w:val="28"/>
          <w:szCs w:val="28"/>
        </w:rPr>
      </w:pPr>
      <w:r>
        <w:rPr>
          <w:rFonts w:hint="eastAsia" w:ascii="仿宋" w:hAnsi="仿宋" w:eastAsia="仿宋" w:cs="仿宋"/>
          <w:sz w:val="28"/>
          <w:szCs w:val="28"/>
        </w:rPr>
        <w:t>1.首付款：项目合同签订生效且中选供应商向数字江门网络建设有限公司提供符国家财务规定的发票后，数字江门网络建设有限公司办理付款手续。数字江门网络建设有限公司收到政府拨付资金后的15个工作日内，支付不高于本项目总额30%作为首期款；</w:t>
      </w:r>
    </w:p>
    <w:p>
      <w:pPr>
        <w:pStyle w:val="14"/>
        <w:spacing w:line="360" w:lineRule="auto"/>
        <w:ind w:firstLine="560"/>
        <w:rPr>
          <w:rFonts w:ascii="仿宋" w:hAnsi="仿宋" w:eastAsia="仿宋" w:cs="仿宋"/>
          <w:sz w:val="28"/>
          <w:szCs w:val="28"/>
        </w:rPr>
      </w:pPr>
      <w:r>
        <w:rPr>
          <w:rFonts w:hint="eastAsia" w:ascii="仿宋" w:hAnsi="仿宋" w:eastAsia="仿宋" w:cs="仿宋"/>
          <w:sz w:val="28"/>
          <w:szCs w:val="28"/>
        </w:rPr>
        <w:t>2.进度款：经数字江门网络建设有限公司确认项目实际进度，中选供应商可向数字江门网络建设有限公司提供符合国家财务规定的发票和申请付款手续。数字江门网络建设有限公司收到政府拨付资金后的15个工作日内，视实际资金到位情况，向中选供应商支付项目进度款，但整体支付比例不高于项目合同总金额的90%；</w:t>
      </w:r>
    </w:p>
    <w:p>
      <w:pPr>
        <w:pStyle w:val="11"/>
        <w:spacing w:line="276" w:lineRule="auto"/>
        <w:ind w:firstLine="640"/>
        <w:rPr>
          <w:rFonts w:hint="default" w:ascii="仿宋" w:hAnsi="仿宋" w:eastAsia="仿宋" w:cs="仿宋"/>
          <w:b w:val="0"/>
          <w:bCs w:val="0"/>
          <w:color w:val="auto"/>
          <w:kern w:val="2"/>
          <w:sz w:val="28"/>
          <w:szCs w:val="28"/>
          <w:highlight w:val="none"/>
          <w:lang w:val="en-US" w:eastAsia="zh-CN" w:bidi="ar-SA"/>
        </w:rPr>
      </w:pPr>
      <w:r>
        <w:rPr>
          <w:rFonts w:hint="eastAsia" w:ascii="仿宋" w:hAnsi="仿宋" w:eastAsia="仿宋" w:cs="仿宋"/>
          <w:sz w:val="28"/>
          <w:szCs w:val="28"/>
        </w:rPr>
        <w:t>3.尾款：项目服务期期满且终验合格，中选供应商向数字江门网络建设有限公司提供符合国家财务规定的发票后，数字江门网络建设有限公司办理申请付款手续。数字江门网络建设有限公司收到政府拨付资金后的15个工日内，将项目合同总金额的余下款项支付给</w:t>
      </w:r>
      <w:r>
        <w:rPr>
          <w:rFonts w:hint="eastAsia" w:ascii="仿宋" w:hAnsi="仿宋" w:eastAsia="仿宋" w:cs="仿宋"/>
          <w:sz w:val="28"/>
          <w:szCs w:val="28"/>
          <w:lang w:val="en-US" w:eastAsia="zh-CN"/>
        </w:rPr>
        <w:t>中选供应商。</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七、供应商资格条件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lang w:val="en-US" w:eastAsia="zh-CN"/>
        </w:rPr>
        <w:t>一</w:t>
      </w: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rPr>
        <w:t>供应商须具备本项目履约能力的在中华人民共和国境内工商局登记注册、根据中华人民共和国有关法律合法成立并存续的独立于采购人和采购机构的独立法人或其他组织，提供</w:t>
      </w:r>
      <w:r>
        <w:rPr>
          <w:rFonts w:hint="eastAsia" w:ascii="仿宋_GB2312" w:eastAsia="仿宋_GB2312" w:hAnsiTheme="minorEastAsia"/>
          <w:b/>
          <w:bCs/>
          <w:kern w:val="0"/>
          <w:sz w:val="28"/>
          <w:szCs w:val="28"/>
        </w:rPr>
        <w:t>合法有效的营业执照</w:t>
      </w:r>
      <w:r>
        <w:rPr>
          <w:rFonts w:hint="eastAsia" w:ascii="仿宋_GB2312" w:eastAsia="仿宋_GB2312" w:cs="Times New Roman" w:hAnsiTheme="minorEastAsia"/>
          <w:kern w:val="0"/>
          <w:sz w:val="28"/>
          <w:szCs w:val="28"/>
        </w:rPr>
        <w:t>或其他符合法规的证明性材料</w:t>
      </w:r>
      <w:r>
        <w:rPr>
          <w:rFonts w:hint="eastAsia" w:ascii="仿宋_GB2312" w:eastAsia="仿宋_GB2312" w:hAnsiTheme="minorEastAsia"/>
          <w:kern w:val="0"/>
          <w:sz w:val="28"/>
          <w:szCs w:val="28"/>
        </w:rPr>
        <w:t>，并提供</w:t>
      </w:r>
      <w:r>
        <w:rPr>
          <w:rFonts w:hint="eastAsia" w:ascii="仿宋_GB2312" w:eastAsia="仿宋_GB2312" w:hAnsiTheme="minorEastAsia"/>
          <w:b/>
          <w:bCs/>
          <w:kern w:val="0"/>
          <w:sz w:val="28"/>
          <w:szCs w:val="28"/>
        </w:rPr>
        <w:t>商事法律关系主体信息最新查询结果</w:t>
      </w:r>
      <w:r>
        <w:rPr>
          <w:rFonts w:hint="eastAsia" w:ascii="仿宋_GB2312" w:eastAsia="仿宋_GB2312" w:hAnsiTheme="minorEastAsia"/>
          <w:kern w:val="0"/>
          <w:sz w:val="28"/>
          <w:szCs w:val="28"/>
        </w:rPr>
        <w:t>（显示经营范围、注册资本等信息）的截屏打印件（加盖公章）。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hAnsiTheme="minorEastAsia"/>
          <w:sz w:val="28"/>
          <w:szCs w:val="28"/>
          <w:lang w:eastAsia="zh-CN"/>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二</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供应商未被列入“信用中国”网站(www.creditchina.gov.cn)“</w:t>
      </w:r>
      <w:r>
        <w:rPr>
          <w:rFonts w:hint="eastAsia" w:ascii="仿宋_GB2312" w:eastAsia="仿宋_GB2312" w:hAnsiTheme="minorEastAsia"/>
          <w:b/>
          <w:bCs/>
          <w:sz w:val="28"/>
          <w:szCs w:val="28"/>
        </w:rPr>
        <w:t>记录失信被执行人或重大税收违法案件当事人名单或政府采购严重违法失信行为</w:t>
      </w:r>
      <w:r>
        <w:rPr>
          <w:rFonts w:hint="eastAsia" w:ascii="仿宋_GB2312" w:eastAsia="仿宋_GB2312" w:hAnsiTheme="minorEastAsia"/>
          <w:sz w:val="28"/>
          <w:szCs w:val="28"/>
        </w:rPr>
        <w:t>”记录名单</w:t>
      </w:r>
      <w:r>
        <w:rPr>
          <w:rFonts w:hint="eastAsia" w:ascii="仿宋_GB2312" w:eastAsia="仿宋_GB2312" w:hAnsiTheme="minorEastAsia"/>
          <w:sz w:val="28"/>
          <w:szCs w:val="28"/>
          <w:lang w:val="en-US" w:eastAsia="zh-CN"/>
        </w:rPr>
        <w:t>；</w:t>
      </w:r>
      <w:r>
        <w:rPr>
          <w:rFonts w:hint="eastAsia" w:ascii="仿宋_GB2312" w:eastAsia="仿宋_GB2312" w:hAnsiTheme="minorEastAsia"/>
          <w:sz w:val="28"/>
          <w:szCs w:val="28"/>
        </w:rPr>
        <w:t>不处于中国政府采购网(www.ccgp.gov.cn)“</w:t>
      </w:r>
      <w:r>
        <w:rPr>
          <w:rFonts w:hint="eastAsia" w:ascii="仿宋_GB2312" w:eastAsia="仿宋_GB2312" w:hAnsiTheme="minorEastAsia"/>
          <w:b/>
          <w:bCs/>
          <w:sz w:val="28"/>
          <w:szCs w:val="28"/>
        </w:rPr>
        <w:t>政府采购严重违法失信行为信息记录</w:t>
      </w:r>
      <w:r>
        <w:rPr>
          <w:rFonts w:hint="eastAsia" w:ascii="仿宋_GB2312" w:eastAsia="仿宋_GB2312" w:hAnsiTheme="minorEastAsia"/>
          <w:sz w:val="28"/>
          <w:szCs w:val="28"/>
        </w:rPr>
        <w:t>”中的禁止参加政府采购活动期间</w:t>
      </w:r>
      <w:r>
        <w:rPr>
          <w:rFonts w:hint="eastAsia" w:ascii="仿宋_GB2312" w:eastAsia="仿宋_GB2312" w:hAnsiTheme="minorEastAsia"/>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三</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本次</w:t>
      </w:r>
      <w:r>
        <w:rPr>
          <w:rFonts w:hint="eastAsia" w:ascii="仿宋_GB2312" w:eastAsia="仿宋_GB2312" w:hAnsiTheme="minorEastAsia"/>
          <w:sz w:val="28"/>
          <w:szCs w:val="28"/>
          <w:lang w:val="en-US" w:eastAsia="zh-CN"/>
        </w:rPr>
        <w:t>采购</w:t>
      </w:r>
      <w:r>
        <w:rPr>
          <w:rFonts w:hint="eastAsia" w:ascii="仿宋_GB2312" w:eastAsia="仿宋_GB2312" w:hAnsiTheme="minorEastAsia"/>
          <w:b/>
          <w:sz w:val="28"/>
          <w:szCs w:val="28"/>
          <w:u w:val="single"/>
        </w:rPr>
        <w:t>不接受</w:t>
      </w:r>
      <w:r>
        <w:rPr>
          <w:rFonts w:hint="eastAsia" w:ascii="仿宋_GB2312" w:eastAsia="仿宋_GB2312" w:hAnsiTheme="minorEastAsia"/>
          <w:sz w:val="28"/>
          <w:szCs w:val="28"/>
        </w:rPr>
        <w:t>联合体参与</w:t>
      </w:r>
      <w:r>
        <w:rPr>
          <w:rFonts w:hint="eastAsia" w:ascii="仿宋_GB2312" w:eastAsia="仿宋_GB2312" w:hAnsiTheme="minorEastAsia"/>
          <w:sz w:val="28"/>
          <w:szCs w:val="28"/>
          <w:lang w:val="en-US" w:eastAsia="zh-CN"/>
        </w:rPr>
        <w:t>响应报价</w:t>
      </w:r>
      <w:r>
        <w:rPr>
          <w:rFonts w:hint="eastAsia" w:ascii="仿宋_GB2312" w:eastAsia="仿宋_GB2312" w:hAnsiTheme="minorEastAsia"/>
          <w:sz w:val="28"/>
          <w:szCs w:val="28"/>
        </w:rPr>
        <w:t>。</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八</w:t>
      </w:r>
      <w:r>
        <w:rPr>
          <w:rFonts w:hint="eastAsia" w:ascii="黑体" w:hAnsi="黑体" w:eastAsia="黑体" w:cs="黑体"/>
          <w:b/>
          <w:color w:val="auto"/>
          <w:sz w:val="28"/>
          <w:szCs w:val="28"/>
          <w:highlight w:val="none"/>
        </w:rPr>
        <w:t>、文件盖章及制作格式</w:t>
      </w:r>
    </w:p>
    <w:p>
      <w:pPr>
        <w:pStyle w:val="14"/>
        <w:spacing w:line="360" w:lineRule="auto"/>
        <w:ind w:firstLine="56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响应文件份数：</w:t>
      </w:r>
      <w:r>
        <w:rPr>
          <w:rFonts w:hint="eastAsia" w:ascii="仿宋" w:hAnsi="仿宋" w:eastAsia="仿宋" w:cs="仿宋"/>
          <w:b/>
          <w:bCs/>
          <w:color w:val="auto"/>
          <w:sz w:val="28"/>
          <w:szCs w:val="28"/>
          <w:highlight w:val="none"/>
        </w:rPr>
        <w:t>正本一份</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电子版一份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正本</w:t>
      </w:r>
      <w:r>
        <w:rPr>
          <w:rFonts w:hint="eastAsia" w:ascii="仿宋" w:hAnsi="仿宋" w:eastAsia="仿宋" w:cs="仿宋"/>
          <w:color w:val="auto"/>
          <w:sz w:val="28"/>
          <w:szCs w:val="28"/>
          <w:highlight w:val="none"/>
        </w:rPr>
        <w:t>需进行装订成册，</w:t>
      </w:r>
      <w:r>
        <w:rPr>
          <w:rFonts w:hint="eastAsia" w:ascii="仿宋" w:hAnsi="仿宋" w:eastAsia="仿宋" w:cs="仿宋"/>
          <w:color w:val="auto"/>
          <w:sz w:val="28"/>
          <w:szCs w:val="28"/>
          <w:highlight w:val="none"/>
          <w:lang w:val="en-US" w:eastAsia="zh-CN"/>
        </w:rPr>
        <w:t>正本与响应文件的电子版文件U盘或光盘等一起</w:t>
      </w:r>
      <w:r>
        <w:rPr>
          <w:rFonts w:hint="eastAsia" w:ascii="仿宋" w:hAnsi="仿宋" w:eastAsia="仿宋" w:cs="仿宋"/>
          <w:color w:val="auto"/>
          <w:sz w:val="28"/>
          <w:szCs w:val="28"/>
          <w:highlight w:val="none"/>
        </w:rPr>
        <w:t>密封，在密封袋上标明项目编号、供应项目名称、供应人名称，密封袋两头封口处均需贴封条。</w:t>
      </w:r>
    </w:p>
    <w:p>
      <w:pPr>
        <w:pStyle w:val="14"/>
        <w:spacing w:line="360" w:lineRule="auto"/>
        <w:ind w:firstLine="56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w:t>
      </w:r>
      <w:r>
        <w:rPr>
          <w:rFonts w:hint="eastAsia" w:ascii="仿宋" w:hAnsi="仿宋" w:eastAsia="仿宋" w:cs="仿宋"/>
          <w:color w:val="auto"/>
          <w:sz w:val="28"/>
          <w:szCs w:val="28"/>
          <w:highlight w:val="none"/>
          <w:lang w:eastAsia="zh-CN"/>
        </w:rPr>
        <w:t>封面</w:t>
      </w:r>
      <w:r>
        <w:rPr>
          <w:rFonts w:hint="eastAsia" w:ascii="仿宋" w:hAnsi="仿宋" w:eastAsia="仿宋" w:cs="仿宋"/>
          <w:color w:val="auto"/>
          <w:sz w:val="28"/>
          <w:szCs w:val="28"/>
          <w:highlight w:val="none"/>
        </w:rPr>
        <w:t>标明项目编号、供应项目名称、供应人名称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格式有提示签字盖章的地方由供应商的法定代表人/负责人或经法定代表人正式授权的代表签字及加盖单位公章，并对响应文件加盖供应商单位骑缝章（加盖骑缝章的为单位公章）。</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九</w:t>
      </w:r>
      <w:r>
        <w:rPr>
          <w:rFonts w:hint="eastAsia" w:ascii="黑体" w:hAnsi="黑体" w:eastAsia="黑体" w:cs="黑体"/>
          <w:b/>
          <w:color w:val="auto"/>
          <w:sz w:val="28"/>
          <w:szCs w:val="28"/>
          <w:highlight w:val="none"/>
        </w:rPr>
        <w:t>、采购需求技术方案</w:t>
      </w:r>
    </w:p>
    <w:p>
      <w:pPr>
        <w:spacing w:line="360" w:lineRule="auto"/>
        <w:ind w:firstLine="560" w:firstLineChars="200"/>
        <w:rPr>
          <w:rFonts w:hint="eastAsia" w:ascii="仿宋_GB2312" w:eastAsia="仿宋_GB2312"/>
          <w:color w:val="auto"/>
          <w:sz w:val="28"/>
          <w:szCs w:val="28"/>
          <w:highlight w:val="none"/>
          <w:lang w:val="en-US" w:eastAsia="zh-CN"/>
        </w:rPr>
      </w:pPr>
      <w:r>
        <w:rPr>
          <w:rFonts w:hint="eastAsia" w:ascii="仿宋" w:hAnsi="仿宋" w:eastAsia="仿宋" w:cs="仿宋"/>
          <w:color w:val="auto"/>
          <w:sz w:val="28"/>
          <w:szCs w:val="28"/>
          <w:highlight w:val="none"/>
        </w:rPr>
        <w:t>供应商应对本项目以上采购需求制作方案，技术方案应包括但不限于以下方面（采购需求的响应、工期计划、售后服务、服务要求等），请在文件格式附件中列明。</w:t>
      </w:r>
    </w:p>
    <w:p>
      <w:pPr>
        <w:rPr>
          <w:rFonts w:hint="eastAsia" w:ascii="黑体" w:hAnsi="黑体" w:eastAsia="黑体" w:cs="黑体"/>
          <w:b/>
          <w:color w:val="auto"/>
          <w:sz w:val="28"/>
          <w:szCs w:val="28"/>
          <w:highlight w:val="none"/>
          <w:lang w:val="zh-CN" w:eastAsia="zh-CN"/>
        </w:rPr>
      </w:pPr>
      <w:r>
        <w:rPr>
          <w:rFonts w:hint="eastAsia" w:ascii="黑体" w:hAnsi="黑体" w:eastAsia="黑体" w:cs="黑体"/>
          <w:b/>
          <w:color w:val="auto"/>
          <w:sz w:val="28"/>
          <w:szCs w:val="28"/>
          <w:highlight w:val="none"/>
          <w:lang w:val="en-US" w:eastAsia="zh-CN"/>
        </w:rPr>
        <w:t>十、确定供应商</w:t>
      </w:r>
    </w:p>
    <w:p>
      <w:pPr>
        <w:pStyle w:val="11"/>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（一）</w:t>
      </w:r>
      <w:r>
        <w:rPr>
          <w:rFonts w:hint="eastAsia" w:ascii="仿宋" w:hAnsi="仿宋" w:eastAsia="仿宋" w:cs="仿宋"/>
          <w:b w:val="0"/>
          <w:bCs/>
          <w:color w:val="auto"/>
          <w:kern w:val="2"/>
          <w:sz w:val="28"/>
          <w:szCs w:val="28"/>
          <w:highlight w:val="none"/>
          <w:lang w:val="zh-CN" w:eastAsia="zh-CN" w:bidi="ar-SA"/>
        </w:rPr>
        <w:t>本项目采购方式</w:t>
      </w:r>
      <w:r>
        <w:rPr>
          <w:rFonts w:hint="eastAsia" w:ascii="仿宋" w:hAnsi="仿宋" w:eastAsia="仿宋" w:cs="仿宋"/>
          <w:b/>
          <w:bCs w:val="0"/>
          <w:color w:val="auto"/>
          <w:kern w:val="2"/>
          <w:sz w:val="28"/>
          <w:szCs w:val="28"/>
          <w:highlight w:val="none"/>
          <w:lang w:val="en-US" w:eastAsia="zh-CN" w:bidi="ar-SA"/>
        </w:rPr>
        <w:t>简易采购</w:t>
      </w:r>
      <w:r>
        <w:rPr>
          <w:rFonts w:hint="eastAsia" w:ascii="仿宋" w:hAnsi="仿宋" w:eastAsia="仿宋" w:cs="仿宋"/>
          <w:bCs/>
          <w:color w:val="auto"/>
          <w:kern w:val="2"/>
          <w:sz w:val="28"/>
          <w:szCs w:val="28"/>
          <w:highlight w:val="none"/>
          <w:lang w:val="zh-CN" w:eastAsia="zh-CN" w:bidi="ar-SA"/>
        </w:rPr>
        <w:t>，综合考虑供应商的商务和技术条件，经评审满足相关要求情况下价格最低者中选（成交）。如有效报价不足3家单位，只有2家单位有效，则根据评审委员会根据响应文件认定2家单位是否有足够竞争性，如有</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继续，否则项目</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失败。</w:t>
      </w:r>
    </w:p>
    <w:p>
      <w:pPr>
        <w:pStyle w:val="11"/>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en-US" w:eastAsia="zh-CN" w:bidi="ar-SA"/>
        </w:rPr>
        <w:t>（二）如供应商达不到响应承诺，故意隐瞒或不反映发现问题，拖延或不予解决的，采购人有权终止合同。</w:t>
      </w:r>
    </w:p>
    <w:p>
      <w:pPr>
        <w:pStyle w:val="11"/>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（三）供应商若违反合同，采购人有权提前终止合同。</w:t>
      </w:r>
    </w:p>
    <w:p>
      <w:pPr>
        <w:spacing w:line="360" w:lineRule="auto"/>
        <w:ind w:firstLine="560" w:firstLineChars="200"/>
        <w:rPr>
          <w:rFonts w:hint="eastAsia" w:ascii="仿宋" w:hAnsi="仿宋" w:eastAsia="仿宋" w:cs="仿宋"/>
          <w:color w:val="auto"/>
          <w:kern w:val="0"/>
          <w:sz w:val="28"/>
          <w:szCs w:val="28"/>
          <w:highlight w:val="none"/>
          <w:lang w:val="zh-CN"/>
        </w:rPr>
      </w:pPr>
    </w:p>
    <w:p>
      <w:pPr>
        <w:pStyle w:val="15"/>
        <w:keepNext w:val="0"/>
        <w:keepLines w:val="0"/>
        <w:pageBreakBefore w:val="0"/>
        <w:widowControl w:val="0"/>
        <w:shd w:val="clear" w:color="auto" w:fill="auto"/>
        <w:kinsoku/>
        <w:wordWrap/>
        <w:overflowPunct/>
        <w:topLinePunct w:val="0"/>
        <w:autoSpaceDE/>
        <w:autoSpaceDN/>
        <w:bidi w:val="0"/>
        <w:adjustRightInd/>
        <w:snapToGrid/>
        <w:spacing w:before="0"/>
        <w:ind w:left="0" w:leftChars="0" w:right="0" w:rightChars="0" w:firstLine="3920" w:firstLineChars="1400"/>
        <w:jc w:val="both"/>
        <w:textAlignment w:val="auto"/>
        <w:rPr>
          <w:rFonts w:hint="eastAsia" w:ascii="仿宋" w:hAnsi="仿宋" w:eastAsia="仿宋" w:cs="仿宋"/>
          <w:color w:val="auto"/>
          <w:spacing w:val="0"/>
          <w:kern w:val="0"/>
          <w:sz w:val="28"/>
          <w:szCs w:val="28"/>
          <w:highlight w:val="none"/>
          <w:lang w:val="zh-CN"/>
        </w:rPr>
      </w:pPr>
      <w:r>
        <w:rPr>
          <w:rFonts w:hint="eastAsia" w:ascii="仿宋" w:hAnsi="仿宋" w:eastAsia="仿宋" w:cs="仿宋"/>
          <w:color w:val="auto"/>
          <w:spacing w:val="0"/>
          <w:kern w:val="0"/>
          <w:sz w:val="28"/>
          <w:szCs w:val="28"/>
          <w:highlight w:val="none"/>
          <w:lang w:val="zh-CN"/>
        </w:rPr>
        <w:t>采购人：数字江门网络建设有限公司</w:t>
      </w:r>
    </w:p>
    <w:p>
      <w:pPr>
        <w:pStyle w:val="2"/>
        <w:keepNext w:val="0"/>
        <w:keepLines w:val="0"/>
        <w:pageBreakBefore w:val="0"/>
        <w:widowControl w:val="0"/>
        <w:kinsoku/>
        <w:wordWrap/>
        <w:overflowPunct/>
        <w:topLinePunct w:val="0"/>
        <w:autoSpaceDE/>
        <w:autoSpaceDN/>
        <w:bidi w:val="0"/>
        <w:adjustRightInd/>
        <w:snapToGrid/>
        <w:spacing w:after="0"/>
        <w:ind w:left="0" w:leftChars="0" w:firstLine="5040" w:firstLineChars="1800"/>
        <w:textAlignment w:val="auto"/>
        <w:rPr>
          <w:rFonts w:hint="eastAsia" w:ascii="仿宋" w:hAnsi="仿宋" w:eastAsia="仿宋" w:cs="仿宋"/>
          <w:color w:val="auto"/>
          <w:spacing w:val="0"/>
          <w:kern w:val="0"/>
          <w:sz w:val="28"/>
          <w:szCs w:val="28"/>
          <w:highlight w:val="none"/>
          <w:lang w:val="zh-CN" w:eastAsia="zh-CN" w:bidi="ar-SA"/>
        </w:rPr>
      </w:pPr>
      <w:r>
        <w:rPr>
          <w:rFonts w:hint="eastAsia" w:ascii="仿宋" w:hAnsi="仿宋" w:eastAsia="仿宋" w:cs="仿宋"/>
          <w:color w:val="auto"/>
          <w:spacing w:val="0"/>
          <w:kern w:val="0"/>
          <w:sz w:val="28"/>
          <w:szCs w:val="28"/>
          <w:highlight w:val="none"/>
          <w:lang w:val="en-US" w:eastAsia="zh-CN" w:bidi="ar-SA"/>
        </w:rPr>
        <w:t>2023年7月24日</w:t>
      </w:r>
    </w:p>
    <w:p>
      <w:pPr>
        <w:pStyle w:val="15"/>
        <w:keepNext w:val="0"/>
        <w:keepLines w:val="0"/>
        <w:pageBreakBefore w:val="0"/>
        <w:widowControl w:val="0"/>
        <w:shd w:val="clear" w:color="auto" w:fill="auto"/>
        <w:kinsoku/>
        <w:wordWrap/>
        <w:overflowPunct/>
        <w:topLinePunct w:val="0"/>
        <w:autoSpaceDE/>
        <w:autoSpaceDN/>
        <w:bidi w:val="0"/>
        <w:adjustRightInd/>
        <w:snapToGrid/>
        <w:spacing w:before="0"/>
        <w:ind w:right="0" w:rightChars="0" w:firstLine="5404" w:firstLineChars="1500"/>
        <w:jc w:val="both"/>
        <w:textAlignment w:val="auto"/>
        <w:rPr>
          <w:rFonts w:asciiTheme="minorEastAsia" w:hAnsiTheme="minorEastAsia" w:cstheme="minorEastAsia"/>
          <w:b/>
          <w:color w:val="auto"/>
          <w:sz w:val="30"/>
          <w:szCs w:val="30"/>
          <w:highlight w:val="none"/>
        </w:rPr>
      </w:pPr>
      <w:r>
        <w:rPr>
          <w:rFonts w:hint="eastAsia" w:asciiTheme="minorEastAsia" w:hAnsiTheme="minorEastAsia" w:cstheme="minorEastAsia"/>
          <w:b/>
          <w:color w:val="auto"/>
          <w:sz w:val="30"/>
          <w:szCs w:val="30"/>
          <w:highlight w:val="none"/>
        </w:rPr>
        <w:br w:type="page"/>
      </w:r>
    </w:p>
    <w:p>
      <w:pPr>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附件：1、《采购需求文件领取登记表》</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2、《授权委托书》</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3、《响应函》</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4、《资格审查资料》</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5、《技术方案》</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6、《其他资格审查资料》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7、《报价一览表》</w:t>
      </w:r>
    </w:p>
    <w:p>
      <w:pPr>
        <w:ind w:firstLine="843" w:firstLineChars="300"/>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8、</w:t>
      </w:r>
      <w:r>
        <w:rPr>
          <w:rFonts w:hint="eastAsia" w:ascii="黑体" w:hAnsi="黑体" w:eastAsia="黑体" w:cs="黑体"/>
          <w:b/>
          <w:color w:val="auto"/>
          <w:sz w:val="28"/>
          <w:szCs w:val="28"/>
          <w:highlight w:val="none"/>
        </w:rPr>
        <w:t>合同条款偏离表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9、合同模版</w:t>
      </w:r>
    </w:p>
    <w:p>
      <w:pPr>
        <w:rPr>
          <w:rFonts w:hint="default"/>
          <w:color w:val="auto"/>
          <w:highlight w:val="none"/>
          <w:lang w:val="en-US" w:eastAsia="zh-CN"/>
        </w:rPr>
      </w:pPr>
      <w:r>
        <w:rPr>
          <w:rFonts w:hint="eastAsia" w:ascii="黑体" w:hAnsi="黑体" w:eastAsia="黑体" w:cs="黑体"/>
          <w:b/>
          <w:color w:val="auto"/>
          <w:sz w:val="28"/>
          <w:szCs w:val="28"/>
          <w:highlight w:val="none"/>
        </w:rPr>
        <w:br w:type="page"/>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9"/>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JYCG2023012</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2023年数字江门网络建设有限公司数据中心机房运维服务项目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rPr>
          <w:rFonts w:ascii="仿宋" w:hAnsi="仿宋" w:eastAsia="仿宋" w:cs="仿宋"/>
          <w:color w:val="auto"/>
          <w:kern w:val="0"/>
          <w:sz w:val="32"/>
          <w:szCs w:val="32"/>
          <w:highlight w:val="none"/>
        </w:rPr>
      </w:pPr>
      <w:r>
        <w:rPr>
          <w:rFonts w:hint="eastAsia" w:ascii="仿宋" w:hAnsi="仿宋" w:eastAsia="仿宋" w:cs="仿宋"/>
          <w:b w:val="0"/>
          <w:bCs w:val="0"/>
          <w:color w:val="auto"/>
          <w:kern w:val="0"/>
          <w:sz w:val="32"/>
          <w:szCs w:val="32"/>
          <w:highlight w:val="none"/>
          <w:lang w:val="en-US" w:eastAsia="zh-CN" w:bidi="ar-SA"/>
        </w:rPr>
        <w:br w:type="page"/>
      </w:r>
    </w:p>
    <w:p>
      <w:pPr>
        <w:pStyle w:val="4"/>
        <w:jc w:val="center"/>
        <w:rPr>
          <w:b w:val="0"/>
          <w:color w:val="auto"/>
          <w:highlight w:val="none"/>
        </w:rPr>
      </w:pPr>
      <w:r>
        <w:rPr>
          <w:rFonts w:hint="eastAsia"/>
          <w:b w:val="0"/>
          <w:color w:val="auto"/>
          <w:highlight w:val="none"/>
        </w:rPr>
        <w:t>二、授权委托书</w:t>
      </w:r>
    </w:p>
    <w:p>
      <w:pPr>
        <w:topLinePunct/>
        <w:spacing w:line="440" w:lineRule="exact"/>
        <w:ind w:firstLine="420" w:firstLineChars="200"/>
        <w:rPr>
          <w:rFonts w:hint="eastAsia" w:eastAsiaTheme="minorEastAsia"/>
          <w:color w:val="auto"/>
          <w:highlight w:val="none"/>
          <w:lang w:eastAsia="zh-CN"/>
        </w:rPr>
      </w:pPr>
      <w:r>
        <w:rPr>
          <w:color w:val="auto"/>
          <w:highlight w:val="none"/>
        </w:rPr>
        <w:t>本人</w:t>
      </w:r>
      <w:r>
        <w:rPr>
          <w:color w:val="auto"/>
          <w:highlight w:val="none"/>
          <w:u w:val="single"/>
        </w:rPr>
        <w:t xml:space="preserve">       </w:t>
      </w:r>
      <w:r>
        <w:rPr>
          <w:color w:val="auto"/>
          <w:highlight w:val="none"/>
        </w:rPr>
        <w:t>（姓名）系</w:t>
      </w:r>
      <w:r>
        <w:rPr>
          <w:color w:val="auto"/>
          <w:highlight w:val="none"/>
          <w:u w:val="single"/>
        </w:rPr>
        <w:t xml:space="preserve">        </w:t>
      </w:r>
      <w:r>
        <w:rPr>
          <w:color w:val="auto"/>
          <w:highlight w:val="none"/>
        </w:rPr>
        <w:t>（</w:t>
      </w:r>
      <w:r>
        <w:rPr>
          <w:rFonts w:hint="eastAsia"/>
          <w:color w:val="auto"/>
          <w:highlight w:val="none"/>
        </w:rPr>
        <w:t>供应商</w:t>
      </w:r>
      <w:r>
        <w:rPr>
          <w:color w:val="auto"/>
          <w:highlight w:val="none"/>
        </w:rPr>
        <w:t>名称）的</w:t>
      </w:r>
      <w:r>
        <w:rPr>
          <w:rFonts w:hint="eastAsia"/>
          <w:color w:val="auto"/>
          <w:highlight w:val="none"/>
        </w:rPr>
        <w:t>法定代表人/负责人</w:t>
      </w:r>
      <w:r>
        <w:rPr>
          <w:color w:val="auto"/>
          <w:highlight w:val="none"/>
        </w:rPr>
        <w:t>，现委托</w:t>
      </w:r>
      <w:r>
        <w:rPr>
          <w:color w:val="auto"/>
          <w:highlight w:val="none"/>
          <w:u w:val="single"/>
        </w:rPr>
        <w:t xml:space="preserve">       </w:t>
      </w:r>
      <w:r>
        <w:rPr>
          <w:color w:val="auto"/>
          <w:highlight w:val="none"/>
        </w:rPr>
        <w:t>（姓名）为我方代理人。代理人根据授权，以我方名义签署、澄清</w:t>
      </w:r>
      <w:r>
        <w:rPr>
          <w:rFonts w:hint="eastAsia"/>
          <w:color w:val="auto"/>
          <w:highlight w:val="none"/>
        </w:rPr>
        <w:t>、说明、补正</w:t>
      </w:r>
      <w:r>
        <w:rPr>
          <w:color w:val="auto"/>
          <w:highlight w:val="none"/>
        </w:rPr>
        <w:t>、递交、撤回、修改</w:t>
      </w:r>
      <w:r>
        <w:rPr>
          <w:color w:val="auto"/>
          <w:highlight w:val="none"/>
          <w:u w:val="single"/>
        </w:rPr>
        <w:t xml:space="preserve">           </w:t>
      </w:r>
      <w:r>
        <w:rPr>
          <w:rFonts w:hint="eastAsia"/>
          <w:color w:val="auto"/>
          <w:highlight w:val="none"/>
          <w:u w:val="single"/>
        </w:rPr>
        <w:t xml:space="preserve">      </w:t>
      </w:r>
      <w:r>
        <w:rPr>
          <w:color w:val="auto"/>
          <w:highlight w:val="none"/>
        </w:rPr>
        <w:t>（项目名称）响应文件、签订合同和处理有关事宜，其法律后果由我方承担。</w:t>
      </w:r>
      <w:r>
        <w:rPr>
          <w:rFonts w:hint="eastAsia"/>
          <w:b/>
          <w:bCs/>
          <w:color w:val="auto"/>
          <w:highlight w:val="none"/>
          <w:lang w:eastAsia="zh-CN"/>
        </w:rPr>
        <w:t>（</w:t>
      </w:r>
      <w:r>
        <w:rPr>
          <w:rFonts w:hint="eastAsia"/>
          <w:b/>
          <w:bCs/>
          <w:color w:val="auto"/>
          <w:highlight w:val="none"/>
          <w:lang w:val="en-US" w:eastAsia="zh-CN"/>
        </w:rPr>
        <w:t>若无授权委托行为，需提供</w:t>
      </w:r>
      <w:r>
        <w:rPr>
          <w:rFonts w:hint="eastAsia"/>
          <w:b/>
          <w:bCs/>
          <w:color w:val="auto"/>
          <w:highlight w:val="none"/>
        </w:rPr>
        <w:t>法定代表人/负责人身份证复印件或扫描件（正反面）并加盖公章</w:t>
      </w:r>
      <w:r>
        <w:rPr>
          <w:rFonts w:hint="eastAsia"/>
          <w:b/>
          <w:bCs/>
          <w:color w:val="auto"/>
          <w:highlight w:val="none"/>
          <w:lang w:eastAsia="zh-CN"/>
        </w:rPr>
        <w:t>）</w:t>
      </w:r>
    </w:p>
    <w:p>
      <w:pPr>
        <w:spacing w:line="440" w:lineRule="exact"/>
        <w:rPr>
          <w:color w:val="auto"/>
          <w:highlight w:val="none"/>
        </w:rPr>
      </w:pPr>
      <w:r>
        <w:rPr>
          <w:color w:val="auto"/>
          <w:highlight w:val="none"/>
        </w:rPr>
        <w:t xml:space="preserve">    委托期限：</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pPr>
        <w:spacing w:line="440" w:lineRule="exact"/>
        <w:ind w:firstLine="420" w:firstLineChars="200"/>
        <w:rPr>
          <w:color w:val="auto"/>
          <w:highlight w:val="none"/>
        </w:rPr>
      </w:pPr>
      <w:r>
        <w:rPr>
          <w:color w:val="auto"/>
          <w:highlight w:val="none"/>
        </w:rPr>
        <w:t>代理人无转委托权。</w:t>
      </w:r>
    </w:p>
    <w:p>
      <w:pPr>
        <w:spacing w:line="440" w:lineRule="exact"/>
        <w:ind w:firstLine="420" w:firstLineChars="200"/>
        <w:rPr>
          <w:rFonts w:hint="eastAsia" w:eastAsiaTheme="minorEastAsia"/>
          <w:color w:val="auto"/>
          <w:highlight w:val="none"/>
          <w:lang w:val="en-US" w:eastAsia="zh-CN"/>
        </w:rPr>
      </w:pPr>
      <w:r>
        <w:rPr>
          <w:rFonts w:hint="eastAsia"/>
          <w:color w:val="auto"/>
          <w:highlight w:val="none"/>
        </w:rPr>
        <w:t>附：法定代表人/负责人</w:t>
      </w:r>
      <w:r>
        <w:rPr>
          <w:rFonts w:hint="eastAsia"/>
          <w:color w:val="auto"/>
          <w:highlight w:val="none"/>
          <w:lang w:eastAsia="zh-CN"/>
        </w:rPr>
        <w:t>、</w:t>
      </w:r>
      <w:r>
        <w:rPr>
          <w:rFonts w:hint="eastAsia"/>
          <w:color w:val="auto"/>
          <w:highlight w:val="none"/>
        </w:rPr>
        <w:t>委托代理人身份证复印件或扫描件（正反面）并加盖公章</w:t>
      </w:r>
      <w:r>
        <w:rPr>
          <w:rFonts w:hint="eastAsia"/>
          <w:color w:val="auto"/>
          <w:highlight w:val="none"/>
          <w:lang w:eastAsia="zh-CN"/>
        </w:rPr>
        <w:t>。</w:t>
      </w:r>
    </w:p>
    <w:tbl>
      <w:tblPr>
        <w:tblStyle w:val="9"/>
        <w:tblW w:w="6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vAlign w:val="center"/>
          </w:tcPr>
          <w:p>
            <w:pPr>
              <w:jc w:val="center"/>
              <w:rPr>
                <w:rFonts w:hAnsi="宋体"/>
                <w:color w:val="auto"/>
                <w:sz w:val="28"/>
                <w:szCs w:val="28"/>
                <w:highlight w:val="none"/>
              </w:rPr>
            </w:pPr>
            <w:r>
              <w:rPr>
                <w:rFonts w:hint="eastAsia" w:hAnsi="宋体"/>
                <w:color w:val="auto"/>
                <w:sz w:val="28"/>
                <w:szCs w:val="28"/>
                <w:highlight w:val="none"/>
              </w:rPr>
              <w:t>法定代表人/负责人身份证复印件</w:t>
            </w:r>
            <w:r>
              <w:rPr>
                <w:rFonts w:hint="eastAsia"/>
                <w:color w:val="auto"/>
                <w:sz w:val="28"/>
                <w:szCs w:val="28"/>
                <w:highlight w:val="none"/>
              </w:rPr>
              <w:t>贴于此处</w:t>
            </w:r>
          </w:p>
          <w:p>
            <w:pPr>
              <w:jc w:val="center"/>
              <w:rPr>
                <w:rFonts w:hAnsi="宋体"/>
                <w:color w:val="auto"/>
                <w:sz w:val="28"/>
                <w:szCs w:val="28"/>
                <w:highlight w:val="none"/>
              </w:rPr>
            </w:pPr>
          </w:p>
          <w:p>
            <w:pPr>
              <w:spacing w:line="500" w:lineRule="exact"/>
              <w:jc w:val="center"/>
              <w:rPr>
                <w:rFonts w:ascii="宋体" w:hAnsi="宋体"/>
                <w:b/>
                <w:bCs/>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ind w:left="-55"/>
              <w:jc w:val="center"/>
              <w:rPr>
                <w:bCs/>
                <w:color w:val="auto"/>
                <w:highlight w:val="none"/>
              </w:rPr>
            </w:pPr>
          </w:p>
        </w:tc>
      </w:tr>
    </w:tbl>
    <w:p>
      <w:pPr>
        <w:spacing w:line="360" w:lineRule="auto"/>
        <w:ind w:firstLine="720" w:firstLineChars="300"/>
        <w:rPr>
          <w:rFonts w:ascii="仿宋" w:hAnsi="仿宋" w:eastAsia="仿宋"/>
          <w:color w:val="auto"/>
          <w:sz w:val="24"/>
          <w:highlight w:val="none"/>
        </w:rPr>
      </w:pPr>
    </w:p>
    <w:tbl>
      <w:tblPr>
        <w:tblStyle w:val="9"/>
        <w:tblW w:w="6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tcPr>
          <w:p>
            <w:pPr>
              <w:adjustRightInd w:val="0"/>
              <w:spacing w:line="312" w:lineRule="atLeast"/>
              <w:jc w:val="center"/>
              <w:textAlignment w:val="baseline"/>
              <w:rPr>
                <w:rFonts w:hAnsi="宋体"/>
                <w:color w:val="auto"/>
                <w:sz w:val="28"/>
                <w:szCs w:val="28"/>
                <w:highlight w:val="none"/>
              </w:rPr>
            </w:pPr>
          </w:p>
          <w:p>
            <w:pPr>
              <w:adjustRightInd w:val="0"/>
              <w:spacing w:line="312" w:lineRule="atLeast"/>
              <w:jc w:val="center"/>
              <w:textAlignment w:val="baseline"/>
              <w:rPr>
                <w:rFonts w:hAnsi="宋体"/>
                <w:color w:val="auto"/>
                <w:sz w:val="28"/>
                <w:szCs w:val="28"/>
                <w:highlight w:val="none"/>
              </w:rPr>
            </w:pPr>
            <w:r>
              <w:rPr>
                <w:rFonts w:hint="eastAsia" w:hAnsi="宋体"/>
                <w:color w:val="auto"/>
                <w:sz w:val="28"/>
                <w:szCs w:val="28"/>
                <w:highlight w:val="none"/>
              </w:rPr>
              <w:t>受托人身份证复印件</w:t>
            </w:r>
            <w:r>
              <w:rPr>
                <w:rFonts w:hint="eastAsia"/>
                <w:color w:val="auto"/>
                <w:sz w:val="28"/>
                <w:szCs w:val="28"/>
                <w:highlight w:val="none"/>
              </w:rPr>
              <w:t>贴于此处</w:t>
            </w:r>
          </w:p>
          <w:p>
            <w:pPr>
              <w:adjustRightInd w:val="0"/>
              <w:spacing w:line="312" w:lineRule="atLeast"/>
              <w:jc w:val="center"/>
              <w:textAlignment w:val="baseline"/>
              <w:rPr>
                <w:rFonts w:hAnsi="宋体"/>
                <w:color w:val="auto"/>
                <w:sz w:val="28"/>
                <w:szCs w:val="28"/>
                <w:highlight w:val="none"/>
              </w:rPr>
            </w:pPr>
          </w:p>
          <w:p>
            <w:pPr>
              <w:adjustRightInd w:val="0"/>
              <w:spacing w:line="500" w:lineRule="exact"/>
              <w:jc w:val="center"/>
              <w:textAlignment w:val="baseline"/>
              <w:rPr>
                <w:rFonts w:ascii="宋体" w:hAnsi="宋体"/>
                <w:b/>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adjustRightInd w:val="0"/>
              <w:spacing w:line="312" w:lineRule="atLeast"/>
              <w:textAlignment w:val="baseline"/>
              <w:rPr>
                <w:rFonts w:hAnsi="宋体"/>
                <w:color w:val="auto"/>
                <w:highlight w:val="none"/>
              </w:rPr>
            </w:pPr>
          </w:p>
        </w:tc>
      </w:tr>
    </w:tbl>
    <w:p>
      <w:pPr>
        <w:spacing w:line="440" w:lineRule="exact"/>
        <w:ind w:firstLine="420" w:firstLineChars="200"/>
        <w:jc w:val="right"/>
        <w:rPr>
          <w:rFonts w:hint="eastAsia"/>
          <w:color w:val="auto"/>
          <w:highlight w:val="none"/>
        </w:rPr>
      </w:pPr>
    </w:p>
    <w:p>
      <w:pPr>
        <w:pStyle w:val="2"/>
        <w:ind w:left="420"/>
        <w:rPr>
          <w:rFonts w:hint="eastAsia"/>
          <w:color w:val="auto"/>
          <w:highlight w:val="none"/>
        </w:rPr>
      </w:pPr>
      <w:r>
        <w:rPr>
          <w:rFonts w:hint="eastAsia"/>
          <w:color w:val="auto"/>
          <w:highlight w:val="none"/>
        </w:rPr>
        <w:t>注：本授权函格式不允许更改</w:t>
      </w:r>
    </w:p>
    <w:p>
      <w:pPr>
        <w:rPr>
          <w:color w:val="auto"/>
          <w:highlight w:val="none"/>
        </w:rPr>
      </w:pPr>
    </w:p>
    <w:p>
      <w:pPr>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spacing w:line="440" w:lineRule="exact"/>
        <w:jc w:val="right"/>
        <w:rPr>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80" w:lineRule="exact"/>
        <w:jc w:val="right"/>
        <w:rPr>
          <w:color w:val="auto"/>
          <w:highlight w:val="none"/>
        </w:rPr>
      </w:pPr>
      <w:r>
        <w:rPr>
          <w:rFonts w:hint="eastAsia"/>
          <w:szCs w:val="21"/>
          <w:highlight w:val="none"/>
          <w:u w:val="none"/>
          <w:lang w:val="en-US" w:eastAsia="zh-CN"/>
        </w:rPr>
        <w:t>日期：</w:t>
      </w:r>
      <w:r>
        <w:rPr>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月</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日</w:t>
      </w:r>
    </w:p>
    <w:p>
      <w:pPr>
        <w:rPr>
          <w:rFonts w:hint="eastAsia" w:ascii="仿宋" w:hAnsi="仿宋" w:eastAsia="仿宋" w:cs="仿宋"/>
          <w:b w:val="0"/>
          <w:bCs w:val="0"/>
          <w:color w:val="auto"/>
          <w:kern w:val="0"/>
          <w:sz w:val="32"/>
          <w:szCs w:val="32"/>
          <w:highlight w:val="none"/>
          <w:lang w:val="en-US" w:eastAsia="zh-CN" w:bidi="ar-SA"/>
        </w:rPr>
      </w:pPr>
      <w:r>
        <w:rPr>
          <w:rFonts w:hint="eastAsia"/>
          <w:color w:val="auto"/>
          <w:highlight w:val="none"/>
        </w:rPr>
        <w:br w:type="page"/>
      </w:r>
    </w:p>
    <w:p>
      <w:pPr>
        <w:pStyle w:val="4"/>
        <w:jc w:val="center"/>
        <w:rPr>
          <w:b w:val="0"/>
          <w:color w:val="auto"/>
          <w:highlight w:val="none"/>
        </w:rPr>
      </w:pPr>
      <w:r>
        <w:rPr>
          <w:rFonts w:hint="eastAsia"/>
          <w:b w:val="0"/>
          <w:color w:val="auto"/>
          <w:highlight w:val="none"/>
          <w:lang w:val="en-US" w:eastAsia="zh-CN"/>
        </w:rPr>
        <w:t>三</w:t>
      </w:r>
      <w:r>
        <w:rPr>
          <w:rFonts w:hint="eastAsia"/>
          <w:b w:val="0"/>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数字江门网络建设有限公司</w:t>
      </w:r>
      <w:r>
        <w:rPr>
          <w:rFonts w:hint="eastAsia" w:asciiTheme="minorEastAsia" w:hAnsiTheme="minorEastAsia" w:eastAsiaTheme="minorEastAsia" w:cstheme="minorEastAsia"/>
          <w:color w:val="auto"/>
          <w:highlight w:val="none"/>
        </w:rPr>
        <w:t>：</w:t>
      </w:r>
    </w:p>
    <w:p>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1．我方已仔细</w:t>
      </w:r>
      <w:r>
        <w:rPr>
          <w:rFonts w:hint="eastAsia" w:ascii="宋体" w:hAnsi="宋体" w:eastAsia="宋体" w:cs="宋体"/>
          <w:b w:val="0"/>
          <w:bCs w:val="0"/>
          <w:color w:val="auto"/>
          <w:highlight w:val="none"/>
        </w:rPr>
        <w:t>研究</w:t>
      </w:r>
      <w:r>
        <w:rPr>
          <w:rFonts w:hint="eastAsia" w:asciiTheme="minorEastAsia" w:hAnsiTheme="minorEastAsia" w:eastAsiaTheme="minorEastAsia" w:cstheme="minorEastAsia"/>
          <w:color w:val="auto"/>
          <w:highlight w:val="none"/>
        </w:rPr>
        <w:t>了</w:t>
      </w:r>
      <w:r>
        <w:rPr>
          <w:rFonts w:hint="eastAsia" w:asciiTheme="minorEastAsia" w:hAnsiTheme="minorEastAsia" w:eastAsiaTheme="minorEastAsia" w:cstheme="minorEastAsia"/>
          <w:color w:val="auto"/>
          <w:highlight w:val="none"/>
          <w:lang w:val="en-US" w:eastAsia="zh-CN"/>
        </w:rPr>
        <w:t>2023年数字江门网络建设有限公司数据中心机房运维服务项目采购</w:t>
      </w:r>
      <w:r>
        <w:rPr>
          <w:rFonts w:hint="eastAsia" w:asciiTheme="minorEastAsia" w:hAnsiTheme="minorEastAsia" w:eastAsiaTheme="minorEastAsia" w:cstheme="minorEastAsia"/>
          <w:color w:val="auto"/>
          <w:highlight w:val="none"/>
        </w:rPr>
        <w:t>文件的全部内容，现提交响应文件。</w:t>
      </w:r>
      <w:r>
        <w:rPr>
          <w:rFonts w:hint="eastAsia" w:asciiTheme="minorEastAsia" w:hAnsiTheme="minorEastAsia" w:eastAsiaTheme="minorEastAsia" w:cstheme="minorEastAsia"/>
          <w:bCs/>
          <w:color w:val="auto"/>
          <w:highlight w:val="none"/>
        </w:rPr>
        <w:t>包括以下内容</w:t>
      </w:r>
      <w:r>
        <w:rPr>
          <w:rFonts w:hint="eastAsia" w:asciiTheme="minorEastAsia" w:hAnsiTheme="minorEastAsia" w:eastAsiaTheme="minorEastAsia" w:cstheme="minorEastAsia"/>
          <w:color w:val="auto"/>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营业执照（或事业单位法人证书等）；</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（3）采购</w:t>
      </w:r>
      <w:r>
        <w:rPr>
          <w:rFonts w:hint="eastAsia" w:ascii="宋体" w:hAnsi="宋体" w:eastAsia="宋体" w:cs="宋体"/>
          <w:color w:val="auto"/>
          <w:highlight w:val="none"/>
        </w:rPr>
        <w:t>文件规定及供应商认为需要提供的其他资料。</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我方在此声明：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2．我方承诺在</w:t>
      </w:r>
      <w:r>
        <w:rPr>
          <w:rFonts w:hint="eastAsia" w:asciiTheme="minorEastAsia" w:hAnsi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文件规定的</w:t>
      </w:r>
      <w:r>
        <w:rPr>
          <w:rFonts w:hint="eastAsia" w:asciiTheme="minorEastAsia" w:hAnsiTheme="minorEastAsia" w:cstheme="minorEastAsia"/>
          <w:color w:val="auto"/>
          <w:highlight w:val="none"/>
          <w:lang w:val="en-US" w:eastAsia="zh-CN"/>
        </w:rPr>
        <w:t>报价</w:t>
      </w:r>
      <w:r>
        <w:rPr>
          <w:rFonts w:hint="eastAsia" w:asciiTheme="minorEastAsia" w:hAnsiTheme="minorEastAsia" w:eastAsiaTheme="minorEastAsia" w:cstheme="minorEastAsia"/>
          <w:color w:val="auto"/>
          <w:highlight w:val="none"/>
        </w:rPr>
        <w:t>有效期内不修改、撤销响应文件。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3．如我方成交：</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（1）我方承诺在收到成交通知书后，在成交通知书规定的期限内与你方签订合同。</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（2）我方完全理解贵方无义务必须接受最低报价的响应文件并有权拒绝所有的响应文件</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cs="宋体" w:eastAsiaTheme="minorEastAsia"/>
          <w:color w:val="auto"/>
          <w:highlight w:val="none"/>
          <w:lang w:eastAsia="zh-CN"/>
        </w:rPr>
      </w:pPr>
      <w:r>
        <w:rPr>
          <w:rFonts w:hint="eastAsia" w:ascii="宋体" w:hAnsi="宋体" w:eastAsia="宋体" w:cs="宋体"/>
          <w:color w:val="auto"/>
          <w:highlight w:val="none"/>
        </w:rPr>
        <w:t>（3）</w:t>
      </w:r>
      <w:r>
        <w:rPr>
          <w:rFonts w:hint="eastAsia" w:ascii="宋体" w:hAnsi="宋体" w:cs="宋体"/>
          <w:color w:val="auto"/>
          <w:highlight w:val="none"/>
          <w:lang w:val="en-US" w:eastAsia="zh-CN"/>
        </w:rPr>
        <w:t>我方承诺满足本采购文件的相应要求</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（4）我方承诺我方响应文件中递交的文件均为真实、有效的，如有虚假信息，承担相应法律责任</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（5）</w:t>
      </w:r>
      <w:r>
        <w:rPr>
          <w:rFonts w:hint="eastAsia" w:ascii="宋体" w:hAnsi="宋体" w:cs="宋体"/>
          <w:color w:val="auto"/>
          <w:highlight w:val="none"/>
          <w:lang w:val="en-US" w:eastAsia="zh-CN"/>
        </w:rPr>
        <w:t>我方承诺在中选后按采购文件要求提供相应文件供采购方审核。</w:t>
      </w:r>
    </w:p>
    <w:p>
      <w:pPr>
        <w:pStyle w:val="2"/>
        <w:keepNext w:val="0"/>
        <w:keepLines w:val="0"/>
        <w:pageBreakBefore w:val="0"/>
        <w:widowControl w:val="0"/>
        <w:kinsoku/>
        <w:wordWrap/>
        <w:overflowPunct/>
        <w:topLinePunct w:val="0"/>
        <w:autoSpaceDE/>
        <w:autoSpaceDN/>
        <w:bidi w:val="0"/>
        <w:adjustRightInd/>
        <w:snapToGrid/>
        <w:spacing w:after="0"/>
        <w:ind w:left="0" w:leftChars="0"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（6）我方承诺未组成联合体响应本项目的应答。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4．我方在此声明，所递交的响应文件及有关资料内容完整、真实和准确，且不存在任何违反相关法律法规关于供应商资格要求的情形。</w:t>
      </w:r>
    </w:p>
    <w:p>
      <w:pPr>
        <w:spacing w:line="360" w:lineRule="auto"/>
        <w:ind w:firstLine="420" w:firstLineChars="200"/>
        <w:rPr>
          <w:rFonts w:asciiTheme="minorEastAsia" w:hAnsiTheme="minorEastAsia" w:cstheme="minorEastAsia"/>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（其他补充说明）。</w:t>
      </w:r>
    </w:p>
    <w:p>
      <w:pPr>
        <w:pStyle w:val="2"/>
        <w:ind w:left="420"/>
        <w:rPr>
          <w:rFonts w:hint="eastAsia"/>
          <w:color w:val="auto"/>
          <w:highlight w:val="none"/>
        </w:rPr>
      </w:pPr>
      <w:r>
        <w:rPr>
          <w:rFonts w:hint="eastAsia"/>
          <w:color w:val="auto"/>
          <w:highlight w:val="none"/>
        </w:rPr>
        <w:t>注：除补充说明外，本响应函格式不允许更改。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（盖单位章）</w:t>
      </w: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jc w:val="right"/>
        <w:textAlignment w:val="auto"/>
        <w:rPr>
          <w:rFonts w:hint="eastAsia" w:asciiTheme="minorEastAsia" w:hAnsiTheme="minorEastAsia" w:eastAsiaTheme="minorEastAsia" w:cstheme="minorEastAsia"/>
          <w:color w:val="auto"/>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四、资格审查资料</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请提供相应的资格审查资料，具体要求详见第</w:t>
      </w:r>
      <w:r>
        <w:rPr>
          <w:rFonts w:hint="eastAsia" w:ascii="仿宋" w:hAnsi="仿宋" w:eastAsia="仿宋" w:cs="仿宋"/>
          <w:b/>
          <w:bCs/>
          <w:i/>
          <w:iCs/>
          <w:color w:val="auto"/>
          <w:sz w:val="28"/>
          <w:szCs w:val="28"/>
          <w:highlight w:val="none"/>
          <w:u w:val="double"/>
          <w:lang w:val="en-US" w:eastAsia="zh-CN"/>
        </w:rPr>
        <w:t>七</w:t>
      </w:r>
      <w:r>
        <w:rPr>
          <w:rFonts w:hint="eastAsia" w:ascii="仿宋" w:hAnsi="仿宋" w:eastAsia="仿宋" w:cs="仿宋"/>
          <w:b/>
          <w:bCs/>
          <w:i/>
          <w:iCs/>
          <w:color w:val="auto"/>
          <w:sz w:val="28"/>
          <w:szCs w:val="28"/>
          <w:highlight w:val="none"/>
          <w:u w:val="double"/>
        </w:rPr>
        <w:t>条供应商资格条件</w:t>
      </w: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color w:val="auto"/>
          <w:highlight w:val="none"/>
        </w:rPr>
      </w:pPr>
    </w:p>
    <w:p>
      <w:pPr>
        <w:rPr>
          <w:color w:val="auto"/>
          <w:highlight w:val="none"/>
        </w:rPr>
      </w:pP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五、技术方案</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请提供相应的技术响应，具体要求详见第</w:t>
      </w:r>
      <w:r>
        <w:rPr>
          <w:rFonts w:hint="eastAsia" w:ascii="仿宋" w:hAnsi="仿宋" w:eastAsia="仿宋" w:cs="仿宋"/>
          <w:b/>
          <w:bCs/>
          <w:i/>
          <w:iCs/>
          <w:color w:val="auto"/>
          <w:sz w:val="28"/>
          <w:szCs w:val="28"/>
          <w:highlight w:val="none"/>
          <w:u w:val="double"/>
          <w:lang w:val="en-US" w:eastAsia="zh-CN"/>
        </w:rPr>
        <w:t>九</w:t>
      </w:r>
      <w:r>
        <w:rPr>
          <w:rFonts w:hint="eastAsia" w:ascii="仿宋" w:hAnsi="仿宋" w:eastAsia="仿宋" w:cs="仿宋"/>
          <w:b/>
          <w:bCs/>
          <w:i/>
          <w:iCs/>
          <w:color w:val="auto"/>
          <w:sz w:val="28"/>
          <w:szCs w:val="28"/>
          <w:highlight w:val="none"/>
          <w:u w:val="double"/>
        </w:rPr>
        <w:t>条采购需求技术方案</w:t>
      </w:r>
    </w:p>
    <w:p>
      <w:pPr>
        <w:pStyle w:val="2"/>
        <w:ind w:left="420"/>
        <w:rPr>
          <w:rFonts w:ascii="仿宋" w:hAnsi="仿宋" w:eastAsia="仿宋" w:cs="仿宋"/>
          <w:b/>
          <w:bCs/>
          <w:i/>
          <w:iCs/>
          <w:color w:val="auto"/>
          <w:sz w:val="28"/>
          <w:szCs w:val="28"/>
          <w:highlight w:val="none"/>
          <w:u w:val="doubl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jc w:val="center"/>
        <w:rPr>
          <w:rFonts w:asciiTheme="minorEastAsia" w:hAnsiTheme="minorEastAsia" w:cstheme="minorEastAsia"/>
          <w:color w:val="auto"/>
          <w:kern w:val="0"/>
          <w:sz w:val="32"/>
          <w:szCs w:val="32"/>
          <w:highlight w:val="none"/>
        </w:rPr>
      </w:pPr>
      <w:r>
        <w:rPr>
          <w:rFonts w:hint="eastAsia" w:asciiTheme="minorEastAsia" w:hAnsiTheme="minorEastAsia" w:cstheme="minorEastAsia"/>
          <w:color w:val="auto"/>
          <w:kern w:val="0"/>
          <w:sz w:val="32"/>
          <w:szCs w:val="32"/>
          <w:highlight w:val="none"/>
        </w:rPr>
        <w:t>六、其他资格审查资料</w:t>
      </w:r>
    </w:p>
    <w:p>
      <w:pPr>
        <w:jc w:val="center"/>
        <w:rPr>
          <w:rFonts w:asciiTheme="minorEastAsia" w:hAnsiTheme="minorEastAsia" w:cstheme="minorEastAsia"/>
          <w:color w:val="auto"/>
          <w:kern w:val="0"/>
          <w:sz w:val="32"/>
          <w:szCs w:val="32"/>
          <w:highlight w:val="none"/>
        </w:rPr>
      </w:pPr>
      <w:r>
        <w:rPr>
          <w:rFonts w:hint="eastAsia" w:ascii="仿宋" w:hAnsi="仿宋" w:eastAsia="仿宋" w:cs="仿宋"/>
          <w:b/>
          <w:bCs/>
          <w:i/>
          <w:iCs/>
          <w:color w:val="auto"/>
          <w:sz w:val="28"/>
          <w:szCs w:val="28"/>
          <w:highlight w:val="none"/>
          <w:u w:val="double"/>
        </w:rPr>
        <w:t>供应商认为需要补充的相关资料</w:t>
      </w:r>
    </w:p>
    <w:p>
      <w:pPr>
        <w:rPr>
          <w:color w:val="auto"/>
          <w:highlight w:val="none"/>
        </w:rPr>
      </w:pPr>
      <w:r>
        <w:rPr>
          <w:color w:val="auto"/>
          <w:highlight w:val="none"/>
        </w:rPr>
        <w:br w:type="page"/>
      </w:r>
    </w:p>
    <w:p>
      <w:pPr>
        <w:pStyle w:val="16"/>
        <w:jc w:val="center"/>
        <w:rPr>
          <w:rFonts w:hint="eastAsia" w:ascii="宋体" w:hAnsi="宋体" w:eastAsia="宋体" w:cs="宋体"/>
          <w:b w:val="0"/>
          <w:bCs w:val="0"/>
          <w:color w:val="auto"/>
          <w:kern w:val="0"/>
          <w:sz w:val="28"/>
          <w:szCs w:val="28"/>
          <w:highlight w:val="none"/>
          <w:lang w:val="en-US" w:eastAsia="zh-CN" w:bidi="ar-SA"/>
        </w:rPr>
      </w:pPr>
      <w:r>
        <w:rPr>
          <w:rFonts w:hint="eastAsia" w:asciiTheme="minorEastAsia" w:hAnsiTheme="minorEastAsia" w:eastAsiaTheme="minorEastAsia" w:cstheme="minorEastAsia"/>
          <w:b w:val="0"/>
          <w:bCs w:val="0"/>
          <w:color w:val="auto"/>
          <w:kern w:val="0"/>
          <w:sz w:val="32"/>
          <w:szCs w:val="32"/>
          <w:highlight w:val="none"/>
          <w:lang w:val="en-US" w:eastAsia="zh-CN" w:bidi="ar-SA"/>
        </w:rPr>
        <w:t>七、报价一览表</w:t>
      </w:r>
    </w:p>
    <w:p>
      <w:pPr>
        <w:pStyle w:val="5"/>
        <w:spacing w:before="156" w:beforeLines="50" w:line="400" w:lineRule="exact"/>
        <w:ind w:firstLine="280" w:firstLineChars="100"/>
        <w:rPr>
          <w:rFonts w:hint="eastAsia" w:ascii="宋体" w:hAnsi="宋体" w:eastAsia="宋体" w:cs="宋体"/>
          <w:color w:val="auto"/>
          <w:sz w:val="28"/>
          <w:szCs w:val="28"/>
          <w:highlight w:val="none"/>
        </w:rPr>
      </w:pPr>
    </w:p>
    <w:p>
      <w:pPr>
        <w:pStyle w:val="5"/>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val="en-US" w:eastAsia="zh-CN"/>
        </w:rPr>
        <w:t>2023年数字江门网络建设有限公司数据中心机房运维服务项目</w:t>
      </w:r>
    </w:p>
    <w:p>
      <w:pPr>
        <w:pStyle w:val="5"/>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JYCG2023012</w:t>
      </w:r>
    </w:p>
    <w:p>
      <w:pPr>
        <w:pStyle w:val="5"/>
        <w:spacing w:after="156" w:afterLines="50" w:line="400" w:lineRule="exact"/>
        <w:ind w:firstLine="210" w:firstLineChars="100"/>
        <w:rPr>
          <w:rFonts w:hint="eastAsia" w:ascii="宋体" w:hAnsi="宋体" w:eastAsia="宋体" w:cs="宋体"/>
          <w:color w:val="auto"/>
          <w:kern w:val="0"/>
          <w:sz w:val="21"/>
          <w:szCs w:val="21"/>
          <w:highlight w:val="none"/>
          <w:lang w:val="en-US" w:eastAsia="zh-CN"/>
        </w:rPr>
      </w:pPr>
    </w:p>
    <w:tbl>
      <w:tblPr>
        <w:tblStyle w:val="9"/>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1"/>
        <w:gridCol w:w="5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3031" w:type="dxa"/>
            <w:vMerge w:val="restart"/>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w:t>
            </w: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含税总价（元</w:t>
            </w:r>
            <w:r>
              <w:rPr>
                <w:rFonts w:hint="eastAsia" w:ascii="宋体" w:hAnsi="宋体" w:eastAsia="宋体" w:cs="宋体"/>
                <w:color w:val="auto"/>
                <w:kern w:val="0"/>
                <w:sz w:val="21"/>
                <w:szCs w:val="21"/>
                <w:highlight w:val="none"/>
                <w:lang w:val="en-US" w:eastAsia="zh-CN"/>
              </w:rPr>
              <w:t>人民币</w:t>
            </w:r>
            <w:r>
              <w:rPr>
                <w:rFonts w:hint="eastAsia" w:ascii="宋体" w:hAnsi="宋体" w:eastAsia="宋体" w:cs="宋体"/>
                <w:color w:val="auto"/>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（小写金额）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（大写金额）</w:t>
            </w:r>
          </w:p>
        </w:tc>
      </w:tr>
    </w:tbl>
    <w:p>
      <w:pPr>
        <w:pStyle w:val="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 w:val="21"/>
          <w:szCs w:val="21"/>
          <w:highlight w:val="none"/>
          <w:lang w:val="en-US"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注明</w:t>
      </w:r>
    </w:p>
    <w:p>
      <w:pPr>
        <w:pStyle w:val="5"/>
        <w:spacing w:after="156" w:afterLines="50" w:line="400" w:lineRule="exact"/>
        <w:ind w:firstLine="211" w:firstLineChars="100"/>
        <w:rPr>
          <w:rFonts w:hint="eastAsia" w:ascii="宋体" w:hAnsi="宋体"/>
          <w:b/>
          <w:bCs/>
          <w:sz w:val="21"/>
          <w:szCs w:val="21"/>
          <w:lang w:val="en-US" w:eastAsia="zh-CN"/>
        </w:rPr>
      </w:pPr>
      <w:r>
        <w:rPr>
          <w:rFonts w:hint="eastAsia" w:ascii="宋体" w:hAnsi="宋体"/>
          <w:b/>
          <w:bCs/>
          <w:sz w:val="21"/>
          <w:szCs w:val="21"/>
          <w:lang w:val="en-US" w:eastAsia="zh-CN"/>
        </w:rPr>
        <w:t>1.本项目含税报价总价不得超过本项目总含税预算</w:t>
      </w:r>
      <w:r>
        <w:rPr>
          <w:rFonts w:hint="eastAsia" w:ascii="宋体" w:hAnsi="宋体" w:cs="Times New Roman"/>
          <w:b/>
          <w:bCs/>
          <w:kern w:val="2"/>
          <w:sz w:val="21"/>
          <w:szCs w:val="21"/>
          <w:lang w:val="en-US" w:eastAsia="zh-CN" w:bidi="ar-SA"/>
        </w:rPr>
        <w:t>15.3</w:t>
      </w:r>
      <w:r>
        <w:rPr>
          <w:rFonts w:hint="eastAsia" w:ascii="宋体" w:hAnsi="宋体"/>
          <w:b/>
          <w:bCs/>
          <w:sz w:val="21"/>
          <w:szCs w:val="21"/>
          <w:lang w:val="en-US" w:eastAsia="zh-CN"/>
        </w:rPr>
        <w:t>万元，否则作否决评审处理。</w:t>
      </w:r>
    </w:p>
    <w:p>
      <w:pPr>
        <w:pStyle w:val="5"/>
        <w:spacing w:after="156" w:afterLines="50" w:line="400" w:lineRule="exact"/>
        <w:ind w:firstLine="210" w:firstLineChars="100"/>
        <w:rPr>
          <w:rFonts w:hint="eastAsia" w:ascii="宋体" w:hAnsi="宋体"/>
          <w:sz w:val="21"/>
          <w:szCs w:val="21"/>
        </w:rPr>
      </w:pPr>
      <w:r>
        <w:rPr>
          <w:rFonts w:ascii="宋体" w:hAnsi="宋体"/>
          <w:sz w:val="21"/>
          <w:szCs w:val="21"/>
        </w:rPr>
        <w:t>2.</w:t>
      </w:r>
      <w:r>
        <w:rPr>
          <w:rFonts w:hint="eastAsia" w:ascii="宋体" w:hAnsi="宋体"/>
          <w:sz w:val="21"/>
          <w:szCs w:val="21"/>
        </w:rPr>
        <w:t>报价包含所购买的项目维保服务及相应的授权、税费及所涉及的一切费用。采购人不再支付任何其他费用。</w:t>
      </w:r>
    </w:p>
    <w:p>
      <w:pPr>
        <w:pStyle w:val="5"/>
        <w:spacing w:after="156" w:afterLines="50" w:line="400" w:lineRule="exact"/>
        <w:ind w:firstLine="210" w:firstLineChars="100"/>
        <w:rPr>
          <w:rFonts w:hint="eastAsia" w:ascii="宋体" w:hAnsi="宋体"/>
          <w:sz w:val="21"/>
          <w:szCs w:val="21"/>
          <w:lang w:eastAsia="zh-CN"/>
        </w:rPr>
      </w:pPr>
      <w:r>
        <w:rPr>
          <w:rFonts w:hint="eastAsia" w:ascii="宋体" w:hAnsi="宋体"/>
          <w:sz w:val="21"/>
          <w:szCs w:val="21"/>
        </w:rPr>
        <w:t>3.供应商应向采购人提供增值税专用发票</w:t>
      </w:r>
      <w:r>
        <w:rPr>
          <w:rFonts w:hint="eastAsia" w:ascii="宋体" w:hAnsi="宋体"/>
          <w:sz w:val="21"/>
          <w:szCs w:val="21"/>
          <w:lang w:eastAsia="zh-CN"/>
        </w:rPr>
        <w:t>（如供应商为非营利性机构，可提供普通发票。）</w:t>
      </w:r>
    </w:p>
    <w:p>
      <w:pPr>
        <w:pStyle w:val="5"/>
        <w:spacing w:after="156" w:afterLines="50" w:line="400" w:lineRule="exact"/>
        <w:ind w:firstLine="210" w:firstLineChars="100"/>
        <w:rPr>
          <w:rFonts w:hint="eastAsia" w:ascii="宋体" w:hAnsi="宋体"/>
          <w:sz w:val="21"/>
          <w:szCs w:val="21"/>
        </w:rPr>
      </w:pPr>
      <w:r>
        <w:rPr>
          <w:rFonts w:ascii="宋体" w:hAnsi="宋体"/>
          <w:sz w:val="21"/>
          <w:szCs w:val="21"/>
        </w:rPr>
        <w:t>4</w:t>
      </w:r>
      <w:r>
        <w:rPr>
          <w:rFonts w:hint="eastAsia" w:ascii="宋体" w:hAnsi="宋体"/>
          <w:sz w:val="21"/>
          <w:szCs w:val="21"/>
        </w:rPr>
        <w:t>.</w:t>
      </w:r>
      <w:r>
        <w:rPr>
          <w:rFonts w:ascii="宋体" w:hAnsi="宋体"/>
          <w:sz w:val="21"/>
          <w:szCs w:val="21"/>
        </w:rPr>
        <w:t>供应商应对采购文件要求报价的所有内容进行报价，未报价部分视为供应商让利或含在其他报价子目中，合同价款不予调整。</w:t>
      </w:r>
    </w:p>
    <w:p>
      <w:pPr>
        <w:pStyle w:val="5"/>
        <w:spacing w:after="156" w:afterLines="50" w:line="400" w:lineRule="exact"/>
        <w:ind w:firstLine="210" w:firstLineChars="100"/>
        <w:rPr>
          <w:rFonts w:hint="eastAsia" w:ascii="宋体" w:hAnsi="宋体"/>
          <w:sz w:val="21"/>
          <w:szCs w:val="21"/>
        </w:rPr>
      </w:pPr>
      <w:r>
        <w:rPr>
          <w:rFonts w:hint="eastAsia" w:ascii="宋体" w:hAnsi="宋体"/>
          <w:sz w:val="21"/>
          <w:szCs w:val="21"/>
        </w:rPr>
        <w:t>5.本项目所填报报价精确到小数点后两位，小数点后两位无论大小均舍去，以供应商所报含税总价来计算价格分。</w:t>
      </w:r>
      <w:r>
        <w:rPr>
          <w:rFonts w:hint="eastAsia" w:ascii="宋体" w:hAnsi="宋体"/>
          <w:sz w:val="21"/>
          <w:szCs w:val="21"/>
          <w:lang w:eastAsia="zh-CN"/>
        </w:rPr>
        <w:t>如果文字大写表示的数据与小写数字表示的有差别，则以文字大写表示的数据为准。</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pStyle w:val="5"/>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sz w:val="21"/>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w:t>
      </w:r>
      <w:r>
        <w:rPr>
          <w:rFonts w:hint="eastAsia" w:ascii="宋体" w:hAnsi="宋体"/>
          <w:sz w:val="21"/>
          <w:szCs w:val="21"/>
          <w:highlight w:val="none"/>
        </w:rPr>
        <w:t>/负责人</w:t>
      </w:r>
      <w:r>
        <w:rPr>
          <w:rFonts w:hint="eastAsia" w:ascii="宋体" w:hAnsi="宋体"/>
          <w:spacing w:val="-2"/>
          <w:szCs w:val="21"/>
          <w:highlight w:val="none"/>
        </w:rPr>
        <w:t>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jc w:val="right"/>
        <w:rPr>
          <w:rFonts w:hint="eastAsia" w:ascii="宋体" w:hAnsi="宋体"/>
          <w:spacing w:val="-2"/>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pPr>
        <w:keepNext w:val="0"/>
        <w:keepLines w:val="0"/>
        <w:pageBreakBefore w:val="0"/>
        <w:widowControl w:val="0"/>
        <w:kinsoku/>
        <w:wordWrap/>
        <w:overflowPunct/>
        <w:topLinePunct w:val="0"/>
        <w:autoSpaceDE/>
        <w:autoSpaceDN/>
        <w:bidi w:val="0"/>
        <w:adjustRightInd/>
        <w:snapToGrid/>
        <w:spacing w:line="480" w:lineRule="auto"/>
        <w:ind w:left="2100" w:leftChars="1000" w:firstLine="1960" w:firstLineChars="700"/>
        <w:textAlignment w:val="auto"/>
        <w:rPr>
          <w:rFonts w:hint="eastAsia" w:ascii="宋体" w:hAnsi="宋体" w:eastAsia="宋体" w:cs="宋体"/>
          <w:color w:val="auto"/>
          <w:sz w:val="28"/>
          <w:szCs w:val="28"/>
          <w:highlight w:val="none"/>
          <w:lang w:eastAsia="zh-CN"/>
        </w:rPr>
      </w:pPr>
    </w:p>
    <w:p>
      <w:pPr>
        <w:pStyle w:val="16"/>
        <w:jc w:val="center"/>
        <w:rPr>
          <w:rFonts w:hint="eastAsia"/>
          <w:color w:val="auto"/>
          <w:highlight w:val="none"/>
        </w:rPr>
      </w:pPr>
      <w:r>
        <w:rPr>
          <w:rFonts w:hint="eastAsia" w:ascii="宋体" w:hAnsi="宋体" w:eastAsia="宋体"/>
          <w:color w:val="auto"/>
          <w:sz w:val="32"/>
          <w:szCs w:val="32"/>
          <w:highlight w:val="none"/>
          <w:lang w:eastAsia="zh-CN"/>
        </w:rPr>
        <w:t>八</w:t>
      </w:r>
      <w:r>
        <w:rPr>
          <w:rFonts w:hint="eastAsia" w:ascii="宋体" w:hAnsi="宋体" w:eastAsia="宋体"/>
          <w:color w:val="auto"/>
          <w:sz w:val="32"/>
          <w:szCs w:val="32"/>
          <w:highlight w:val="none"/>
        </w:rPr>
        <w:t>、合同条款偏离表</w:t>
      </w:r>
    </w:p>
    <w:p>
      <w:pPr>
        <w:rPr>
          <w:rFonts w:hint="eastAsia"/>
          <w:b/>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color w:val="auto"/>
          <w:highlight w:val="none"/>
        </w:rPr>
      </w:pPr>
      <w:r>
        <w:rPr>
          <w:rFonts w:hint="eastAsia"/>
          <w:b/>
          <w:color w:val="auto"/>
          <w:highlight w:val="none"/>
        </w:rPr>
        <w:t>供应商应按照</w:t>
      </w:r>
      <w:r>
        <w:rPr>
          <w:rFonts w:hint="eastAsia"/>
          <w:b/>
          <w:color w:val="auto"/>
          <w:highlight w:val="none"/>
          <w:lang w:val="en-US" w:eastAsia="zh-CN"/>
        </w:rPr>
        <w:t>采购</w:t>
      </w:r>
      <w:r>
        <w:rPr>
          <w:rFonts w:hint="eastAsia"/>
          <w:b/>
          <w:color w:val="auto"/>
          <w:highlight w:val="none"/>
        </w:rPr>
        <w:t>文件要求，对本文件“合同书格式”内容做出全面响应，并填写下表，未在响应表中列出的偏离，视同完全响应、无偏离。</w:t>
      </w:r>
    </w:p>
    <w:p>
      <w:pPr>
        <w:pStyle w:val="5"/>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color w:val="auto"/>
          <w:szCs w:val="21"/>
          <w:highlight w:val="none"/>
        </w:rPr>
      </w:pPr>
      <w:r>
        <w:rPr>
          <w:rFonts w:hint="eastAsia" w:ascii="宋体" w:hAnsi="宋体"/>
          <w:b/>
          <w:color w:val="auto"/>
          <w:szCs w:val="21"/>
          <w:highlight w:val="none"/>
        </w:rPr>
        <w:t>★本项目《合同书》中所有条款均为实质性条款，响应供应商如有任何一条不满足，将导致响应被否决。</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74"/>
        <w:gridCol w:w="2074"/>
        <w:gridCol w:w="2074"/>
        <w:gridCol w:w="1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56" w:type="dxa"/>
            <w:noWrap w:val="0"/>
            <w:vAlign w:val="center"/>
          </w:tcPr>
          <w:p>
            <w:pPr>
              <w:pStyle w:val="5"/>
              <w:ind w:leftChars="-22" w:right="-139" w:rightChars="-66" w:hanging="46" w:hangingChars="22"/>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序号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采购文件条目号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采购文件的合同条款响应</w:t>
            </w:r>
          </w:p>
        </w:tc>
        <w:tc>
          <w:tcPr>
            <w:tcW w:w="1360" w:type="dxa"/>
            <w:noWrap w:val="0"/>
            <w:vAlign w:val="center"/>
          </w:tcPr>
          <w:p>
            <w:pPr>
              <w:pStyle w:val="5"/>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1</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2</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3</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bl>
    <w:p>
      <w:pPr>
        <w:rPr>
          <w:rFonts w:ascii="宋体" w:hAnsi="宋体"/>
          <w:bCs/>
          <w:color w:val="auto"/>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注：</w:t>
      </w:r>
      <w:r>
        <w:rPr>
          <w:rFonts w:hint="eastAsia" w:ascii="宋体" w:hAnsi="宋体" w:eastAsia="宋体" w:cs="宋体"/>
          <w:b/>
          <w:bCs/>
          <w:color w:val="auto"/>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Cs/>
          <w:color w:val="auto"/>
          <w:szCs w:val="21"/>
          <w:highlight w:val="none"/>
        </w:rPr>
      </w:pPr>
      <w:r>
        <w:rPr>
          <w:rFonts w:hint="eastAsia" w:ascii="宋体" w:hAnsi="宋体" w:eastAsia="宋体" w:cs="宋体"/>
          <w:b/>
          <w:bCs w:val="0"/>
          <w:color w:val="auto"/>
          <w:szCs w:val="21"/>
          <w:highlight w:val="none"/>
        </w:rPr>
        <w:t>2.即</w:t>
      </w:r>
      <w:r>
        <w:rPr>
          <w:rFonts w:hint="eastAsia" w:ascii="宋体" w:hAnsi="宋体" w:eastAsia="宋体" w:cs="宋体"/>
          <w:b/>
          <w:bCs/>
          <w:color w:val="auto"/>
          <w:szCs w:val="21"/>
          <w:highlight w:val="none"/>
        </w:rPr>
        <w:t>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5.如果“应答情况”为“不满足”或是“部分满足”，请在“</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文件的合同条款”列明具体条款。</w:t>
      </w:r>
    </w:p>
    <w:p>
      <w:pPr>
        <w:rPr>
          <w:rFonts w:hint="eastAsia" w:ascii="宋体" w:hAnsi="宋体" w:eastAsia="宋体" w:cs="宋体"/>
          <w:color w:val="auto"/>
          <w:sz w:val="28"/>
          <w:szCs w:val="28"/>
          <w:highlight w:val="none"/>
          <w:lang w:eastAsia="zh-CN"/>
        </w:rPr>
      </w:pPr>
    </w:p>
    <w:p>
      <w:pP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br w:type="page"/>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eastAsia="宋体" w:cs="宋体"/>
          <w:b w:val="0"/>
          <w:bCs w:val="0"/>
          <w:color w:val="auto"/>
          <w:kern w:val="0"/>
          <w:sz w:val="32"/>
          <w:szCs w:val="32"/>
          <w:highlight w:val="none"/>
          <w:lang w:val="en-US" w:eastAsia="zh-CN" w:bidi="ar-SA"/>
        </w:rPr>
      </w:pPr>
      <w:r>
        <w:rPr>
          <w:rFonts w:hint="eastAsia" w:ascii="宋体" w:hAnsi="宋体" w:eastAsia="宋体" w:cs="宋体"/>
          <w:b w:val="0"/>
          <w:bCs w:val="0"/>
          <w:color w:val="auto"/>
          <w:kern w:val="0"/>
          <w:sz w:val="32"/>
          <w:szCs w:val="32"/>
          <w:highlight w:val="none"/>
          <w:lang w:val="en-US" w:eastAsia="zh-CN" w:bidi="ar-SA"/>
        </w:rPr>
        <w:t>九、合同模版</w:t>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b/>
          <w:bCs/>
          <w:color w:val="auto"/>
          <w:sz w:val="24"/>
          <w:szCs w:val="24"/>
          <w:highlight w:val="none"/>
        </w:rPr>
      </w:pP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kern w:val="2"/>
          <w:sz w:val="52"/>
          <w:szCs w:val="52"/>
          <w:highlight w:val="none"/>
          <w:lang w:val="en-US" w:eastAsia="zh-CN" w:bidi="ar-SA"/>
        </w:rPr>
        <w:t>2023年数字江门网络建设有限公司数据中心机房运维服务项目</w:t>
      </w: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r>
        <w:rPr>
          <w:rFonts w:hint="default" w:ascii="黑体" w:hAnsi="黑体" w:eastAsia="黑体" w:cs="黑体"/>
          <w:b/>
          <w:color w:val="auto"/>
          <w:sz w:val="52"/>
          <w:szCs w:val="52"/>
          <w:highlight w:val="none"/>
          <w:lang w:val="en-US" w:eastAsia="zh-CN"/>
        </w:rPr>
        <w:t>采购合同</w:t>
      </w:r>
    </w:p>
    <w:p>
      <w:pPr>
        <w:widowControl/>
        <w:spacing w:line="360" w:lineRule="auto"/>
        <w:jc w:val="left"/>
        <w:rPr>
          <w:color w:val="auto"/>
          <w:highlight w:val="none"/>
        </w:rPr>
      </w:pPr>
      <w:r>
        <w:rPr>
          <w:color w:val="auto"/>
          <w:highlight w:val="none"/>
        </w:rPr>
        <w:br w:type="page"/>
      </w:r>
    </w:p>
    <w:p>
      <w:pPr>
        <w:autoSpaceDE w:val="0"/>
        <w:autoSpaceDN w:val="0"/>
        <w:adjustRightInd w:val="0"/>
        <w:spacing w:line="360" w:lineRule="auto"/>
        <w:jc w:val="left"/>
        <w:rPr>
          <w:rFonts w:ascii="宋体" w:eastAsia="宋体" w:cs="宋体"/>
          <w:kern w:val="0"/>
          <w:sz w:val="24"/>
          <w:szCs w:val="24"/>
        </w:rPr>
      </w:pPr>
      <w:r>
        <w:rPr>
          <w:rFonts w:hint="eastAsia" w:ascii="宋体" w:eastAsia="宋体" w:cs="宋体"/>
          <w:kern w:val="0"/>
          <w:sz w:val="24"/>
          <w:szCs w:val="24"/>
        </w:rPr>
        <w:t>建设单位：（以下简称甲方）</w:t>
      </w:r>
      <w:r>
        <w:rPr>
          <w:rFonts w:hint="eastAsia" w:ascii="宋体" w:eastAsia="宋体" w:cs="宋体"/>
          <w:kern w:val="0"/>
          <w:sz w:val="24"/>
          <w:szCs w:val="24"/>
          <w:u w:val="single"/>
        </w:rPr>
        <w:t>数字江门网络建设有限公司</w:t>
      </w:r>
    </w:p>
    <w:p>
      <w:pPr>
        <w:autoSpaceDE w:val="0"/>
        <w:autoSpaceDN w:val="0"/>
        <w:adjustRightInd w:val="0"/>
        <w:spacing w:line="360" w:lineRule="auto"/>
        <w:jc w:val="left"/>
        <w:rPr>
          <w:rFonts w:ascii="宋体" w:eastAsia="宋体" w:cs="宋体"/>
          <w:kern w:val="0"/>
          <w:sz w:val="24"/>
          <w:szCs w:val="24"/>
        </w:rPr>
      </w:pPr>
      <w:r>
        <w:rPr>
          <w:rFonts w:hint="eastAsia" w:ascii="宋体" w:eastAsia="宋体" w:cs="宋体"/>
          <w:kern w:val="0"/>
          <w:sz w:val="24"/>
          <w:szCs w:val="24"/>
        </w:rPr>
        <w:t>承建单位：（以下简称乙方）</w:t>
      </w:r>
      <w:r>
        <w:rPr>
          <w:rFonts w:hint="eastAsia" w:ascii="宋体" w:eastAsia="宋体" w:cs="宋体"/>
          <w:kern w:val="0"/>
          <w:sz w:val="24"/>
          <w:szCs w:val="24"/>
          <w:u w:val="single"/>
        </w:rPr>
        <w:t xml:space="preserve"> </w:t>
      </w:r>
      <w:r>
        <w:rPr>
          <w:rFonts w:ascii="宋体" w:eastAsia="宋体" w:cs="宋体"/>
          <w:kern w:val="0"/>
          <w:sz w:val="24"/>
          <w:szCs w:val="24"/>
          <w:u w:val="single"/>
        </w:rPr>
        <w:t xml:space="preserve">                       </w:t>
      </w:r>
    </w:p>
    <w:p>
      <w:pPr>
        <w:autoSpaceDE w:val="0"/>
        <w:autoSpaceDN w:val="0"/>
        <w:adjustRightInd w:val="0"/>
        <w:spacing w:line="360" w:lineRule="auto"/>
        <w:jc w:val="left"/>
        <w:rPr>
          <w:rFonts w:ascii="宋体" w:eastAsia="宋体" w:cs="宋体"/>
          <w:kern w:val="0"/>
          <w:sz w:val="24"/>
          <w:szCs w:val="24"/>
        </w:rPr>
      </w:pP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甲乙双方根据《中华人民共和国民法典》、《中华人民共和国政府采购法》等有关法律法规的规定，按照202</w:t>
      </w:r>
      <w:r>
        <w:rPr>
          <w:rFonts w:hint="eastAsia" w:ascii="宋体" w:eastAsia="宋体" w:cs="宋体"/>
          <w:kern w:val="0"/>
          <w:sz w:val="24"/>
          <w:szCs w:val="24"/>
          <w:lang w:val="en-US" w:eastAsia="zh-CN"/>
        </w:rPr>
        <w:t>3</w:t>
      </w:r>
      <w:r>
        <w:rPr>
          <w:rFonts w:hint="eastAsia" w:ascii="宋体" w:eastAsia="宋体" w:cs="宋体"/>
          <w:kern w:val="0"/>
          <w:sz w:val="24"/>
          <w:szCs w:val="24"/>
        </w:rPr>
        <w:t>年X月</w:t>
      </w:r>
      <w:r>
        <w:rPr>
          <w:rFonts w:ascii="宋体" w:eastAsia="宋体" w:cs="宋体"/>
          <w:kern w:val="0"/>
          <w:sz w:val="24"/>
          <w:szCs w:val="24"/>
        </w:rPr>
        <w:t>X</w:t>
      </w:r>
      <w:r>
        <w:rPr>
          <w:rFonts w:hint="eastAsia" w:ascii="宋体" w:eastAsia="宋体" w:cs="宋体"/>
          <w:kern w:val="0"/>
          <w:sz w:val="24"/>
          <w:szCs w:val="24"/>
        </w:rPr>
        <w:t>日</w:t>
      </w:r>
      <w:r>
        <w:rPr>
          <w:rFonts w:hint="eastAsia" w:ascii="宋体" w:eastAsia="宋体" w:cs="宋体"/>
          <w:kern w:val="0"/>
          <w:sz w:val="24"/>
          <w:szCs w:val="24"/>
          <w:u w:val="single"/>
        </w:rPr>
        <w:t>2023年数字江门网络建设有限公司数据中心机房运维服务项目</w:t>
      </w:r>
      <w:r>
        <w:rPr>
          <w:rFonts w:hint="eastAsia" w:ascii="宋体" w:eastAsia="宋体" w:cs="宋体"/>
          <w:kern w:val="0"/>
          <w:sz w:val="24"/>
          <w:szCs w:val="24"/>
        </w:rPr>
        <w:t>（</w:t>
      </w:r>
      <w:r>
        <w:rPr>
          <w:rFonts w:hint="eastAsia" w:ascii="宋体" w:eastAsia="宋体" w:cs="宋体"/>
          <w:kern w:val="0"/>
          <w:sz w:val="24"/>
          <w:szCs w:val="24"/>
          <w:lang w:val="en-US" w:eastAsia="zh-CN"/>
        </w:rPr>
        <w:t>项目</w:t>
      </w:r>
      <w:r>
        <w:rPr>
          <w:rFonts w:hint="eastAsia" w:ascii="宋体" w:eastAsia="宋体" w:cs="宋体"/>
          <w:kern w:val="0"/>
          <w:sz w:val="24"/>
          <w:szCs w:val="24"/>
        </w:rPr>
        <w:t>编号：</w:t>
      </w:r>
      <w:r>
        <w:rPr>
          <w:rFonts w:ascii="宋体" w:eastAsia="宋体" w:cs="宋体"/>
          <w:kern w:val="0"/>
          <w:sz w:val="24"/>
          <w:szCs w:val="24"/>
        </w:rPr>
        <w:t>XXXXXXXXX</w:t>
      </w:r>
      <w:r>
        <w:rPr>
          <w:rFonts w:hint="eastAsia" w:ascii="宋体" w:eastAsia="宋体" w:cs="宋体"/>
          <w:kern w:val="0"/>
          <w:sz w:val="24"/>
          <w:szCs w:val="24"/>
        </w:rPr>
        <w:t>）的</w:t>
      </w:r>
      <w:r>
        <w:rPr>
          <w:rFonts w:hint="eastAsia" w:ascii="宋体" w:eastAsia="宋体" w:cs="宋体"/>
          <w:kern w:val="0"/>
          <w:sz w:val="24"/>
          <w:szCs w:val="24"/>
          <w:lang w:eastAsia="zh-CN"/>
        </w:rPr>
        <w:t>采购</w:t>
      </w:r>
      <w:r>
        <w:rPr>
          <w:rFonts w:hint="eastAsia" w:ascii="宋体" w:eastAsia="宋体" w:cs="宋体"/>
          <w:kern w:val="0"/>
          <w:sz w:val="24"/>
          <w:szCs w:val="24"/>
        </w:rPr>
        <w:t>结果、</w:t>
      </w:r>
      <w:r>
        <w:rPr>
          <w:rFonts w:hint="eastAsia" w:ascii="宋体" w:eastAsia="宋体" w:cs="宋体"/>
          <w:kern w:val="0"/>
          <w:sz w:val="24"/>
          <w:szCs w:val="24"/>
          <w:lang w:eastAsia="zh-CN"/>
        </w:rPr>
        <w:t>采购</w:t>
      </w:r>
      <w:r>
        <w:rPr>
          <w:rFonts w:hint="eastAsia" w:ascii="宋体" w:eastAsia="宋体" w:cs="宋体"/>
          <w:kern w:val="0"/>
          <w:sz w:val="24"/>
          <w:szCs w:val="24"/>
        </w:rPr>
        <w:t>文件、乙方的</w:t>
      </w:r>
      <w:r>
        <w:rPr>
          <w:rFonts w:hint="eastAsia" w:ascii="宋体" w:eastAsia="宋体" w:cs="宋体"/>
          <w:kern w:val="0"/>
          <w:sz w:val="24"/>
          <w:szCs w:val="24"/>
          <w:lang w:eastAsia="zh-CN"/>
        </w:rPr>
        <w:t>采购</w:t>
      </w:r>
      <w:r>
        <w:rPr>
          <w:rFonts w:hint="eastAsia" w:ascii="宋体" w:eastAsia="宋体" w:cs="宋体"/>
          <w:kern w:val="0"/>
          <w:sz w:val="24"/>
          <w:szCs w:val="24"/>
        </w:rPr>
        <w:t>文件及澄清、说明或者补正文件和中标通知书的要求，经双方协商一致，订立合同如下：</w:t>
      </w:r>
    </w:p>
    <w:p>
      <w:pPr>
        <w:autoSpaceDE w:val="0"/>
        <w:autoSpaceDN w:val="0"/>
        <w:adjustRightInd w:val="0"/>
        <w:spacing w:line="360" w:lineRule="auto"/>
        <w:ind w:firstLine="482" w:firstLineChars="200"/>
        <w:jc w:val="left"/>
        <w:rPr>
          <w:rFonts w:ascii="宋体" w:eastAsia="宋体" w:cs="宋体"/>
          <w:b/>
          <w:bCs/>
          <w:kern w:val="0"/>
          <w:sz w:val="24"/>
          <w:szCs w:val="24"/>
        </w:rPr>
      </w:pPr>
      <w:r>
        <w:rPr>
          <w:rFonts w:hint="eastAsia" w:ascii="宋体" w:eastAsia="宋体" w:cs="宋体"/>
          <w:b/>
          <w:bCs/>
          <w:kern w:val="0"/>
          <w:sz w:val="24"/>
          <w:szCs w:val="24"/>
        </w:rPr>
        <w:t xml:space="preserve">第一条 </w:t>
      </w:r>
      <w:r>
        <w:rPr>
          <w:rFonts w:ascii="宋体" w:eastAsia="宋体" w:cs="宋体"/>
          <w:b/>
          <w:bCs/>
          <w:kern w:val="0"/>
          <w:sz w:val="24"/>
          <w:szCs w:val="24"/>
        </w:rPr>
        <w:t xml:space="preserve"> </w:t>
      </w:r>
      <w:r>
        <w:rPr>
          <w:rFonts w:hint="eastAsia" w:ascii="宋体" w:eastAsia="宋体" w:cs="宋体"/>
          <w:b/>
          <w:bCs/>
          <w:kern w:val="0"/>
          <w:sz w:val="24"/>
          <w:szCs w:val="24"/>
        </w:rPr>
        <w:t>项目的名称、项目总价和项目产品的清单（名称、数量、规格、单价、型号、品牌和技术指标等）</w:t>
      </w:r>
    </w:p>
    <w:p>
      <w:pPr>
        <w:pStyle w:val="2"/>
        <w:keepNext w:val="0"/>
        <w:keepLines w:val="0"/>
        <w:pageBreakBefore w:val="0"/>
        <w:widowControl w:val="0"/>
        <w:kinsoku/>
        <w:wordWrap/>
        <w:overflowPunct/>
        <w:topLinePunct w:val="0"/>
        <w:autoSpaceDE/>
        <w:autoSpaceDN/>
        <w:bidi w:val="0"/>
        <w:adjustRightInd/>
        <w:snapToGrid/>
        <w:ind w:left="0" w:firstLine="480" w:firstLineChars="200"/>
        <w:jc w:val="left"/>
        <w:textAlignment w:val="auto"/>
        <w:rPr>
          <w:rFonts w:hint="eastAsia" w:ascii="宋体" w:eastAsia="宋体" w:cs="宋体"/>
          <w:kern w:val="0"/>
          <w:sz w:val="24"/>
          <w:szCs w:val="24"/>
          <w:lang w:eastAsia="zh-CN"/>
        </w:rPr>
      </w:pPr>
      <w:r>
        <w:rPr>
          <w:rFonts w:hint="eastAsia" w:ascii="宋体" w:eastAsia="宋体" w:cs="宋体"/>
          <w:kern w:val="0"/>
          <w:sz w:val="24"/>
          <w:szCs w:val="24"/>
        </w:rPr>
        <w:t>（一）项目名称：</w:t>
      </w:r>
      <w:r>
        <w:rPr>
          <w:rFonts w:hint="eastAsia" w:ascii="宋体" w:eastAsia="宋体" w:cs="宋体"/>
          <w:kern w:val="0"/>
          <w:sz w:val="24"/>
          <w:szCs w:val="24"/>
          <w:u w:val="single"/>
        </w:rPr>
        <w:t>2023年数字江门网络建设有限公司数据中心机房运维服</w:t>
      </w:r>
      <w:r>
        <w:rPr>
          <w:rFonts w:hint="eastAsia" w:ascii="宋体" w:cs="宋体"/>
          <w:kern w:val="0"/>
          <w:sz w:val="24"/>
          <w:szCs w:val="24"/>
          <w:u w:val="single"/>
          <w:lang w:val="en-US" w:eastAsia="zh-CN"/>
        </w:rPr>
        <w:t>务</w:t>
      </w:r>
      <w:r>
        <w:rPr>
          <w:rFonts w:hint="eastAsia" w:ascii="宋体" w:eastAsia="宋体" w:cs="宋体"/>
          <w:kern w:val="0"/>
          <w:sz w:val="24"/>
          <w:szCs w:val="24"/>
          <w:u w:val="single"/>
        </w:rPr>
        <w:t>项目</w:t>
      </w:r>
      <w:r>
        <w:rPr>
          <w:rFonts w:hint="eastAsia" w:ascii="宋体" w:cs="宋体"/>
          <w:kern w:val="0"/>
          <w:sz w:val="24"/>
          <w:szCs w:val="24"/>
          <w:u w:val="single"/>
          <w:lang w:eastAsia="zh-CN"/>
        </w:rPr>
        <w:t>。</w:t>
      </w:r>
    </w:p>
    <w:p>
      <w:pPr>
        <w:spacing w:line="360" w:lineRule="auto"/>
        <w:ind w:firstLine="480" w:firstLineChars="200"/>
        <w:rPr>
          <w:rFonts w:ascii="宋体" w:hAnsi="宋体"/>
          <w:sz w:val="24"/>
          <w:szCs w:val="24"/>
        </w:rPr>
      </w:pPr>
      <w:r>
        <w:rPr>
          <w:rFonts w:hint="eastAsia" w:ascii="宋体" w:eastAsia="宋体" w:cs="宋体"/>
          <w:kern w:val="0"/>
          <w:sz w:val="24"/>
          <w:szCs w:val="24"/>
        </w:rPr>
        <w:t>（二）项目总价是完成项目的含税全包价，所有价格变动的风险均由乙方承担，甲方不需再向乙方支付任何费用。</w:t>
      </w:r>
    </w:p>
    <w:p>
      <w:pPr>
        <w:widowControl/>
        <w:autoSpaceDE/>
        <w:autoSpaceDN/>
        <w:adjustRightInd/>
        <w:spacing w:line="480" w:lineRule="exact"/>
        <w:ind w:firstLine="480" w:firstLineChars="200"/>
        <w:jc w:val="left"/>
        <w:rPr>
          <w:rFonts w:hint="eastAsia" w:ascii="宋体" w:eastAsia="宋体" w:cs="宋体"/>
          <w:kern w:val="0"/>
          <w:sz w:val="24"/>
          <w:szCs w:val="24"/>
          <w:lang w:val="en-US" w:eastAsia="zh-CN"/>
        </w:rPr>
      </w:pPr>
      <w:r>
        <w:rPr>
          <w:rFonts w:hint="eastAsia" w:ascii="宋体" w:eastAsia="宋体" w:cs="宋体"/>
          <w:kern w:val="0"/>
          <w:sz w:val="24"/>
          <w:szCs w:val="24"/>
        </w:rPr>
        <w:t>项目总价为（小写）</w:t>
      </w:r>
      <w:r>
        <w:rPr>
          <w:rFonts w:hint="eastAsia" w:ascii="宋体" w:eastAsia="宋体" w:cs="宋体"/>
          <w:kern w:val="0"/>
          <w:sz w:val="24"/>
          <w:szCs w:val="24"/>
          <w:u w:val="single"/>
        </w:rPr>
        <w:t>¥</w:t>
      </w:r>
      <w:r>
        <w:rPr>
          <w:rFonts w:hint="eastAsia" w:ascii="宋体" w:eastAsia="宋体" w:cs="宋体"/>
          <w:kern w:val="0"/>
          <w:sz w:val="24"/>
          <w:szCs w:val="24"/>
          <w:u w:val="single"/>
          <w:lang w:val="en-US" w:eastAsia="zh-CN"/>
        </w:rPr>
        <w:t>XXX</w:t>
      </w:r>
      <w:r>
        <w:rPr>
          <w:rFonts w:hint="eastAsia" w:ascii="宋体" w:eastAsia="宋体" w:cs="宋体"/>
          <w:kern w:val="0"/>
          <w:sz w:val="24"/>
          <w:szCs w:val="24"/>
        </w:rPr>
        <w:t>，（大写）</w:t>
      </w:r>
      <w:r>
        <w:rPr>
          <w:rFonts w:hint="eastAsia" w:ascii="宋体" w:eastAsia="宋体" w:cs="宋体"/>
          <w:kern w:val="0"/>
          <w:sz w:val="24"/>
          <w:szCs w:val="24"/>
          <w:u w:val="single"/>
        </w:rPr>
        <w:t>人民币</w:t>
      </w:r>
      <w:r>
        <w:rPr>
          <w:rFonts w:hint="eastAsia" w:ascii="宋体" w:eastAsia="宋体" w:cs="宋体"/>
          <w:kern w:val="0"/>
          <w:sz w:val="24"/>
          <w:szCs w:val="24"/>
          <w:u w:val="single"/>
          <w:lang w:val="en-US" w:eastAsia="zh-CN"/>
        </w:rPr>
        <w:t>XXX</w:t>
      </w:r>
      <w:r>
        <w:rPr>
          <w:rFonts w:hint="eastAsia" w:ascii="宋体" w:eastAsia="宋体" w:cs="宋体"/>
          <w:kern w:val="0"/>
          <w:sz w:val="24"/>
          <w:szCs w:val="24"/>
        </w:rPr>
        <w:t>；</w:t>
      </w:r>
      <w:r>
        <w:rPr>
          <w:rFonts w:hint="eastAsia" w:ascii="宋体" w:eastAsia="宋体" w:cs="宋体"/>
          <w:kern w:val="0"/>
          <w:sz w:val="24"/>
          <w:szCs w:val="24"/>
          <w:lang w:val="en-US" w:eastAsia="zh-CN"/>
        </w:rPr>
        <w:t>其中</w:t>
      </w:r>
      <w:r>
        <w:rPr>
          <w:rFonts w:hint="eastAsia" w:ascii="宋体" w:hAnsi="宋体" w:eastAsia="宋体" w:cs="宋体"/>
          <w:color w:val="auto"/>
          <w:kern w:val="0"/>
          <w:sz w:val="24"/>
          <w:lang w:eastAsia="zh-CN"/>
        </w:rPr>
        <w:t>不含税金额</w:t>
      </w:r>
      <w:r>
        <w:rPr>
          <w:rFonts w:hint="eastAsia" w:ascii="宋体" w:hAnsi="宋体" w:eastAsia="宋体" w:cs="宋体"/>
          <w:color w:val="auto"/>
          <w:kern w:val="0"/>
          <w:sz w:val="24"/>
          <w:szCs w:val="24"/>
          <w:u w:val="single"/>
          <w:lang w:val="en-US" w:eastAsia="zh-CN"/>
        </w:rPr>
        <w:t>¥</w:t>
      </w:r>
      <w:r>
        <w:rPr>
          <w:rFonts w:hint="eastAsia" w:ascii="宋体" w:hAnsi="宋体" w:eastAsia="宋体" w:cs="宋体"/>
          <w:color w:val="auto"/>
          <w:kern w:val="0"/>
          <w:sz w:val="24"/>
          <w:u w:val="single"/>
          <w:lang w:val="en-US" w:eastAsia="zh-CN"/>
        </w:rPr>
        <w:t>X</w:t>
      </w:r>
      <w:r>
        <w:rPr>
          <w:rFonts w:hint="eastAsia" w:ascii="宋体" w:hAnsi="宋体" w:eastAsia="宋体" w:cs="宋体"/>
          <w:color w:val="auto"/>
          <w:kern w:val="0"/>
          <w:sz w:val="24"/>
          <w:lang w:eastAsia="zh-CN"/>
        </w:rPr>
        <w:t>元，（大写）</w:t>
      </w:r>
      <w:r>
        <w:rPr>
          <w:rFonts w:hint="eastAsia" w:ascii="宋体" w:hAnsi="宋体" w:eastAsia="宋体" w:cs="宋体"/>
          <w:color w:val="auto"/>
          <w:kern w:val="0"/>
          <w:sz w:val="24"/>
          <w:u w:val="single"/>
          <w:lang w:eastAsia="zh-CN"/>
        </w:rPr>
        <w:t>人民币</w:t>
      </w:r>
      <w:r>
        <w:rPr>
          <w:rFonts w:hint="eastAsia" w:ascii="宋体" w:hAnsi="宋体" w:eastAsia="宋体" w:cs="宋体"/>
          <w:color w:val="auto"/>
          <w:kern w:val="0"/>
          <w:sz w:val="24"/>
          <w:u w:val="single"/>
          <w:lang w:val="en-US" w:eastAsia="zh-CN"/>
        </w:rPr>
        <w:t>X</w:t>
      </w:r>
      <w:r>
        <w:rPr>
          <w:rFonts w:hint="eastAsia" w:ascii="宋体" w:hAnsi="宋体" w:eastAsia="宋体" w:cs="宋体"/>
          <w:color w:val="auto"/>
          <w:kern w:val="0"/>
          <w:sz w:val="24"/>
          <w:lang w:eastAsia="zh-CN"/>
        </w:rPr>
        <w:t>，增值税税额</w:t>
      </w:r>
      <w:r>
        <w:rPr>
          <w:rFonts w:hint="eastAsia" w:ascii="宋体" w:hAnsi="宋体" w:eastAsia="宋体" w:cs="宋体"/>
          <w:color w:val="auto"/>
          <w:kern w:val="0"/>
          <w:sz w:val="24"/>
          <w:szCs w:val="24"/>
          <w:u w:val="single"/>
          <w:lang w:val="en-US" w:eastAsia="zh-CN"/>
        </w:rPr>
        <w:t>¥</w:t>
      </w:r>
      <w:r>
        <w:rPr>
          <w:rFonts w:hint="eastAsia" w:ascii="宋体" w:hAnsi="宋体" w:eastAsia="宋体" w:cs="宋体"/>
          <w:color w:val="auto"/>
          <w:kern w:val="0"/>
          <w:sz w:val="24"/>
          <w:u w:val="single"/>
          <w:lang w:val="en-US" w:eastAsia="zh-CN"/>
        </w:rPr>
        <w:t>X</w:t>
      </w:r>
      <w:r>
        <w:rPr>
          <w:rFonts w:hint="eastAsia" w:ascii="宋体" w:hAnsi="宋体" w:eastAsia="宋体" w:cs="宋体"/>
          <w:color w:val="auto"/>
          <w:kern w:val="0"/>
          <w:sz w:val="24"/>
          <w:lang w:eastAsia="zh-CN"/>
        </w:rPr>
        <w:t>元，（大写）</w:t>
      </w:r>
      <w:r>
        <w:rPr>
          <w:rFonts w:hint="eastAsia" w:ascii="宋体" w:hAnsi="宋体" w:eastAsia="宋体" w:cs="宋体"/>
          <w:color w:val="auto"/>
          <w:kern w:val="0"/>
          <w:sz w:val="24"/>
          <w:lang w:val="en-US" w:eastAsia="zh-CN"/>
        </w:rPr>
        <w:t>人民币</w:t>
      </w:r>
      <w:r>
        <w:rPr>
          <w:rFonts w:hint="eastAsia" w:ascii="宋体" w:hAnsi="宋体" w:eastAsia="宋体" w:cs="宋体"/>
          <w:color w:val="auto"/>
          <w:kern w:val="0"/>
          <w:sz w:val="24"/>
          <w:u w:val="single"/>
          <w:lang w:val="en-US" w:eastAsia="zh-CN"/>
        </w:rPr>
        <w:t>X</w:t>
      </w:r>
      <w:r>
        <w:rPr>
          <w:rFonts w:hint="eastAsia" w:ascii="宋体" w:hAnsi="宋体" w:eastAsia="宋体" w:cs="宋体"/>
          <w:color w:val="auto"/>
          <w:kern w:val="0"/>
          <w:sz w:val="24"/>
          <w:lang w:eastAsia="zh-CN"/>
        </w:rPr>
        <w:t>，提供税率为</w:t>
      </w:r>
      <w:r>
        <w:rPr>
          <w:rFonts w:hint="eastAsia" w:ascii="宋体" w:hAnsi="宋体" w:eastAsia="宋体" w:cs="宋体"/>
          <w:color w:val="auto"/>
          <w:kern w:val="0"/>
          <w:sz w:val="24"/>
          <w:u w:val="single"/>
          <w:lang w:val="en-US" w:eastAsia="zh-CN"/>
        </w:rPr>
        <w:t>X</w:t>
      </w:r>
      <w:r>
        <w:rPr>
          <w:rFonts w:hint="eastAsia" w:ascii="宋体" w:hAnsi="宋体" w:eastAsia="宋体" w:cs="宋体"/>
          <w:color w:val="auto"/>
          <w:kern w:val="0"/>
          <w:sz w:val="24"/>
          <w:u w:val="single"/>
          <w:lang w:eastAsia="zh-CN"/>
        </w:rPr>
        <w:t>%</w:t>
      </w:r>
      <w:r>
        <w:rPr>
          <w:rFonts w:hint="eastAsia" w:ascii="宋体" w:hAnsi="宋体" w:eastAsia="宋体" w:cs="宋体"/>
          <w:color w:val="auto"/>
          <w:kern w:val="0"/>
          <w:sz w:val="24"/>
          <w:lang w:eastAsia="zh-CN"/>
        </w:rPr>
        <w:t>的增值税</w:t>
      </w:r>
      <w:r>
        <w:rPr>
          <w:rFonts w:hint="eastAsia" w:ascii="宋体" w:hAnsi="宋体" w:eastAsia="宋体" w:cs="宋体"/>
          <w:color w:val="auto"/>
          <w:kern w:val="0"/>
          <w:sz w:val="24"/>
          <w:lang w:val="en-US" w:eastAsia="zh-CN"/>
        </w:rPr>
        <w:t>专用发票。</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（三）服务内容：</w:t>
      </w:r>
    </w:p>
    <w:tbl>
      <w:tblPr>
        <w:tblStyle w:val="9"/>
        <w:tblW w:w="5000" w:type="pct"/>
        <w:jc w:val="center"/>
        <w:tblLayout w:type="autofit"/>
        <w:tblCellMar>
          <w:top w:w="15" w:type="dxa"/>
          <w:left w:w="15" w:type="dxa"/>
          <w:bottom w:w="15" w:type="dxa"/>
          <w:right w:w="15" w:type="dxa"/>
        </w:tblCellMar>
      </w:tblPr>
      <w:tblGrid>
        <w:gridCol w:w="502"/>
        <w:gridCol w:w="1001"/>
        <w:gridCol w:w="1256"/>
        <w:gridCol w:w="512"/>
        <w:gridCol w:w="477"/>
        <w:gridCol w:w="3574"/>
        <w:gridCol w:w="1014"/>
      </w:tblGrid>
      <w:tr>
        <w:tblPrEx>
          <w:tblCellMar>
            <w:top w:w="15" w:type="dxa"/>
            <w:left w:w="15" w:type="dxa"/>
            <w:bottom w:w="15" w:type="dxa"/>
            <w:right w:w="15" w:type="dxa"/>
          </w:tblCellMar>
        </w:tblPrEx>
        <w:trPr>
          <w:trHeight w:val="974" w:hRule="atLeast"/>
          <w:jc w:val="center"/>
        </w:trPr>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b/>
                <w:color w:val="auto"/>
                <w:sz w:val="21"/>
                <w:szCs w:val="21"/>
              </w:rPr>
            </w:pPr>
            <w:r>
              <w:rPr>
                <w:rFonts w:hint="eastAsia" w:ascii="宋体" w:hAnsi="宋体" w:eastAsia="宋体" w:cs="宋体"/>
                <w:b/>
                <w:color w:val="auto"/>
                <w:sz w:val="21"/>
                <w:szCs w:val="21"/>
                <w:lang w:bidi="ar"/>
              </w:rPr>
              <w:t>序号</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b/>
                <w:color w:val="auto"/>
                <w:sz w:val="21"/>
                <w:szCs w:val="21"/>
              </w:rPr>
            </w:pPr>
            <w:r>
              <w:rPr>
                <w:rFonts w:hint="eastAsia" w:ascii="宋体" w:hAnsi="宋体" w:eastAsia="宋体" w:cs="宋体"/>
                <w:b/>
                <w:color w:val="auto"/>
                <w:sz w:val="21"/>
                <w:szCs w:val="21"/>
                <w:lang w:bidi="ar"/>
              </w:rPr>
              <w:t>服务类型</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b/>
                <w:color w:val="auto"/>
                <w:sz w:val="21"/>
                <w:szCs w:val="21"/>
              </w:rPr>
            </w:pPr>
            <w:r>
              <w:rPr>
                <w:rFonts w:hint="eastAsia" w:ascii="宋体" w:hAnsi="宋体" w:eastAsia="宋体" w:cs="宋体"/>
                <w:b/>
                <w:color w:val="auto"/>
                <w:sz w:val="21"/>
                <w:szCs w:val="21"/>
                <w:lang w:bidi="ar"/>
              </w:rPr>
              <w:t>服务项目</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b/>
                <w:color w:val="auto"/>
                <w:sz w:val="21"/>
                <w:szCs w:val="21"/>
              </w:rPr>
            </w:pPr>
            <w:r>
              <w:rPr>
                <w:rFonts w:hint="eastAsia" w:ascii="宋体" w:hAnsi="宋体" w:eastAsia="宋体" w:cs="宋体"/>
                <w:b/>
                <w:color w:val="auto"/>
                <w:sz w:val="21"/>
                <w:szCs w:val="21"/>
                <w:lang w:bidi="ar"/>
              </w:rPr>
              <w:t>数量</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b/>
                <w:color w:val="auto"/>
                <w:sz w:val="21"/>
                <w:szCs w:val="21"/>
              </w:rPr>
            </w:pPr>
            <w:r>
              <w:rPr>
                <w:rFonts w:hint="eastAsia" w:ascii="宋体" w:hAnsi="宋体" w:eastAsia="宋体" w:cs="宋体"/>
                <w:b/>
                <w:color w:val="auto"/>
                <w:sz w:val="21"/>
                <w:szCs w:val="21"/>
                <w:lang w:bidi="ar"/>
              </w:rPr>
              <w:t>单位</w:t>
            </w:r>
          </w:p>
        </w:tc>
        <w:tc>
          <w:tcPr>
            <w:tcW w:w="214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b/>
                <w:color w:val="auto"/>
                <w:sz w:val="21"/>
                <w:szCs w:val="21"/>
              </w:rPr>
            </w:pPr>
            <w:r>
              <w:rPr>
                <w:rFonts w:hint="eastAsia" w:ascii="宋体" w:hAnsi="宋体" w:eastAsia="宋体" w:cs="宋体"/>
                <w:b/>
                <w:color w:val="auto"/>
                <w:sz w:val="21"/>
                <w:szCs w:val="21"/>
                <w:lang w:bidi="ar"/>
              </w:rPr>
              <w:t>服务内容</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b/>
                <w:color w:val="auto"/>
                <w:sz w:val="21"/>
                <w:szCs w:val="21"/>
              </w:rPr>
            </w:pPr>
            <w:r>
              <w:rPr>
                <w:rFonts w:hint="eastAsia" w:ascii="宋体" w:hAnsi="宋体" w:eastAsia="宋体" w:cs="宋体"/>
                <w:b/>
                <w:color w:val="auto"/>
                <w:sz w:val="21"/>
                <w:szCs w:val="21"/>
                <w:lang w:bidi="ar"/>
              </w:rPr>
              <w:t>备注</w:t>
            </w:r>
          </w:p>
        </w:tc>
      </w:tr>
      <w:tr>
        <w:tblPrEx>
          <w:tblCellMar>
            <w:top w:w="15" w:type="dxa"/>
            <w:left w:w="15" w:type="dxa"/>
            <w:bottom w:w="15" w:type="dxa"/>
            <w:right w:w="15" w:type="dxa"/>
          </w:tblCellMar>
        </w:tblPrEx>
        <w:trPr>
          <w:trHeight w:val="1080" w:hRule="atLeast"/>
          <w:jc w:val="center"/>
        </w:trPr>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设备资产管理</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设备资产登记</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项</w:t>
            </w:r>
          </w:p>
        </w:tc>
        <w:tc>
          <w:tcPr>
            <w:tcW w:w="2143" w:type="pct"/>
            <w:tcBorders>
              <w:top w:val="single" w:color="000000" w:sz="4" w:space="0"/>
              <w:left w:val="single" w:color="000000" w:sz="4" w:space="0"/>
              <w:bottom w:val="single" w:color="auto"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对电子政务机房内的硬件设备进行清算登记，建立《设备资产登记表》台帐，每周更新一次。</w:t>
            </w:r>
          </w:p>
          <w:p>
            <w:pPr>
              <w:spacing w:line="360" w:lineRule="auto"/>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提供机房基础环境整理和清洁服务、提交台账更新报表和年度台账汇总表。</w:t>
            </w:r>
          </w:p>
        </w:tc>
        <w:tc>
          <w:tcPr>
            <w:tcW w:w="608" w:type="pct"/>
            <w:tcBorders>
              <w:top w:val="single" w:color="000000"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1620" w:hRule="atLeast"/>
          <w:jc w:val="center"/>
        </w:trPr>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2</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工单运维服务</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工单运维服务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w:t>
            </w:r>
          </w:p>
        </w:tc>
        <w:tc>
          <w:tcPr>
            <w:tcW w:w="286" w:type="pct"/>
            <w:tcBorders>
              <w:top w:val="single" w:color="000000" w:sz="4" w:space="0"/>
              <w:left w:val="single" w:color="000000" w:sz="4" w:space="0"/>
              <w:bottom w:val="single" w:color="000000" w:sz="4" w:space="0"/>
              <w:right w:val="single" w:color="auto"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项</w:t>
            </w:r>
          </w:p>
        </w:tc>
        <w:tc>
          <w:tcPr>
            <w:tcW w:w="2143"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1、对虚拟机资源申请进行IP资源分配、部署相关虚拟机，做好登记。</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2、对用户报障的问题及时记录，驻场服务工程师5分钟响应处理，对事件记录好处理过程，建立事件处置档案，每周提交《运维服务记录表》档案；</w:t>
            </w:r>
          </w:p>
          <w:p>
            <w:pPr>
              <w:spacing w:line="360" w:lineRule="auto"/>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3、协助用户做好相关电子政务机房保障工作。</w:t>
            </w:r>
          </w:p>
        </w:tc>
        <w:tc>
          <w:tcPr>
            <w:tcW w:w="608"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540" w:hRule="atLeast"/>
          <w:jc w:val="center"/>
        </w:trPr>
        <w:tc>
          <w:tcPr>
            <w:tcW w:w="301" w:type="pct"/>
            <w:vMerge w:val="restart"/>
            <w:tcBorders>
              <w:top w:val="single" w:color="000000" w:sz="4" w:space="0"/>
              <w:left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3</w:t>
            </w:r>
          </w:p>
        </w:tc>
        <w:tc>
          <w:tcPr>
            <w:tcW w:w="600" w:type="pct"/>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机房核心</w:t>
            </w:r>
            <w:r>
              <w:rPr>
                <w:rFonts w:hint="eastAsia" w:ascii="宋体" w:hAnsi="宋体" w:eastAsia="宋体" w:cs="宋体"/>
                <w:color w:val="auto"/>
                <w:sz w:val="21"/>
                <w:szCs w:val="21"/>
                <w:lang w:eastAsia="zh-CN" w:bidi="ar"/>
              </w:rPr>
              <w:t>路由</w:t>
            </w:r>
            <w:r>
              <w:rPr>
                <w:rFonts w:hint="eastAsia" w:ascii="宋体" w:hAnsi="宋体" w:eastAsia="宋体" w:cs="宋体"/>
                <w:color w:val="auto"/>
                <w:sz w:val="21"/>
                <w:szCs w:val="21"/>
                <w:lang w:bidi="ar"/>
              </w:rPr>
              <w:t>交换运维</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eastAsia="zh-CN" w:bidi="ar"/>
              </w:rPr>
              <w:t>核心路由器</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lang w:val="en-US" w:eastAsia="zh-CN" w:bidi="ar"/>
              </w:rPr>
            </w:pPr>
            <w:r>
              <w:rPr>
                <w:rFonts w:hint="eastAsia" w:ascii="宋体" w:hAnsi="宋体" w:eastAsia="宋体" w:cs="宋体"/>
                <w:color w:val="auto"/>
                <w:sz w:val="21"/>
                <w:szCs w:val="21"/>
                <w:lang w:val="en-US" w:eastAsia="zh-CN" w:bidi="ar"/>
              </w:rPr>
              <w:t>2</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eastAsia="zh-CN" w:bidi="ar"/>
              </w:rPr>
              <w:t>台</w:t>
            </w:r>
          </w:p>
        </w:tc>
        <w:tc>
          <w:tcPr>
            <w:tcW w:w="2143" w:type="pct"/>
            <w:vMerge w:val="restart"/>
            <w:tcBorders>
              <w:top w:val="single" w:color="auto" w:sz="4" w:space="0"/>
              <w:left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1、对出口</w:t>
            </w:r>
            <w:r>
              <w:rPr>
                <w:rFonts w:hint="eastAsia" w:ascii="宋体" w:hAnsi="宋体" w:eastAsia="宋体" w:cs="宋体"/>
                <w:color w:val="auto"/>
                <w:sz w:val="21"/>
                <w:szCs w:val="21"/>
                <w:lang w:eastAsia="zh-CN" w:bidi="ar"/>
              </w:rPr>
              <w:t>路由器、核心路由器</w:t>
            </w:r>
            <w:r>
              <w:rPr>
                <w:rFonts w:hint="eastAsia" w:ascii="宋体" w:hAnsi="宋体" w:eastAsia="宋体" w:cs="宋体"/>
                <w:color w:val="auto"/>
                <w:sz w:val="21"/>
                <w:szCs w:val="21"/>
                <w:lang w:bidi="ar"/>
              </w:rPr>
              <w:t>和核心交换机根据用户提交需求进行维护和配置，如端口镜像，路由测试等，及时保障与省厅、公安的设备对接成功，提高网络使用效率和质量。</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2、对机房汇聚</w:t>
            </w:r>
            <w:r>
              <w:rPr>
                <w:rFonts w:hint="eastAsia" w:ascii="宋体" w:hAnsi="宋体" w:eastAsia="宋体" w:cs="宋体"/>
                <w:color w:val="auto"/>
                <w:sz w:val="21"/>
                <w:szCs w:val="21"/>
                <w:lang w:eastAsia="zh-CN" w:bidi="ar"/>
              </w:rPr>
              <w:t>路由器和</w:t>
            </w:r>
            <w:r>
              <w:rPr>
                <w:rFonts w:hint="eastAsia" w:ascii="宋体" w:hAnsi="宋体" w:eastAsia="宋体" w:cs="宋体"/>
                <w:color w:val="auto"/>
                <w:sz w:val="21"/>
                <w:szCs w:val="21"/>
                <w:lang w:bidi="ar"/>
              </w:rPr>
              <w:t>交换机根据用户提交需求进行维护和配置，如端口配置、VLAN变更、VLAN间互访、IP地址变更、路由状态检测、各级单位与机房汇聚交换机连接状态检查，协助用户和运营商配置汇聚交换机到四市三区的网络链路冗余，定期测试链路冗余的可用性。</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3、对设备出现的故障提供运维处理服务，提交检测报告和解决方案，协助用户及时解除各类故障对业务的影响，缩小影响时间，提高服务保障。</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4、及时记录网络变更情况，做好交换设备定期备份配置工作，有更新要及时备份。</w:t>
            </w:r>
          </w:p>
          <w:p>
            <w:pPr>
              <w:spacing w:line="360" w:lineRule="auto"/>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5、建立管理文件夹，有序存放配置备份文件，方便管理和使用。</w:t>
            </w:r>
          </w:p>
        </w:tc>
        <w:tc>
          <w:tcPr>
            <w:tcW w:w="608" w:type="pct"/>
            <w:vMerge w:val="restart"/>
            <w:tcBorders>
              <w:top w:val="single" w:color="auto" w:sz="4" w:space="0"/>
              <w:left w:val="single" w:color="000000" w:sz="4" w:space="0"/>
              <w:right w:val="single" w:color="000000" w:sz="4" w:space="0"/>
            </w:tcBorders>
            <w:shd w:val="clear" w:color="auto" w:fill="auto"/>
            <w:vAlign w:val="center"/>
          </w:tcPr>
          <w:p>
            <w:pPr>
              <w:spacing w:line="360" w:lineRule="auto"/>
              <w:rPr>
                <w:rFonts w:hint="eastAsia" w:ascii="宋体" w:hAnsi="宋体" w:eastAsia="宋体" w:cs="宋体"/>
                <w:szCs w:val="21"/>
              </w:rPr>
            </w:pPr>
          </w:p>
          <w:p>
            <w:pPr>
              <w:pStyle w:val="2"/>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540" w:hRule="atLeast"/>
          <w:jc w:val="center"/>
        </w:trPr>
        <w:tc>
          <w:tcPr>
            <w:tcW w:w="301" w:type="pct"/>
            <w:vMerge w:val="continue"/>
            <w:tcBorders>
              <w:left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lang w:bidi="ar"/>
              </w:rPr>
            </w:pPr>
          </w:p>
        </w:tc>
        <w:tc>
          <w:tcPr>
            <w:tcW w:w="600" w:type="pct"/>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bidi="ar"/>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eastAsia="zh-CN" w:bidi="ar"/>
              </w:rPr>
              <w:t>节点路由器</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lang w:val="en-US" w:eastAsia="zh-CN" w:bidi="ar"/>
              </w:rPr>
            </w:pPr>
            <w:r>
              <w:rPr>
                <w:rFonts w:hint="eastAsia" w:ascii="宋体" w:hAnsi="宋体" w:eastAsia="宋体" w:cs="宋体"/>
                <w:color w:val="auto"/>
                <w:sz w:val="21"/>
                <w:szCs w:val="21"/>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eastAsia="zh-CN" w:bidi="ar"/>
              </w:rPr>
              <w:t>台</w:t>
            </w:r>
          </w:p>
        </w:tc>
        <w:tc>
          <w:tcPr>
            <w:tcW w:w="2143" w:type="pct"/>
            <w:vMerge w:val="continue"/>
            <w:tcBorders>
              <w:left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1"/>
                <w:szCs w:val="21"/>
                <w:lang w:bidi="ar"/>
              </w:rPr>
            </w:pPr>
          </w:p>
        </w:tc>
        <w:tc>
          <w:tcPr>
            <w:tcW w:w="608" w:type="pct"/>
            <w:vMerge w:val="continue"/>
            <w:tcBorders>
              <w:left w:val="single" w:color="000000" w:sz="4" w:space="0"/>
              <w:right w:val="single" w:color="000000" w:sz="4" w:space="0"/>
            </w:tcBorders>
            <w:shd w:val="clear" w:color="auto" w:fill="auto"/>
            <w:vAlign w:val="center"/>
          </w:tcPr>
          <w:p>
            <w:pPr>
              <w:pStyle w:val="2"/>
              <w:rPr>
                <w:rFonts w:hint="eastAsia" w:ascii="宋体" w:hAnsi="宋体" w:eastAsia="宋体" w:cs="宋体"/>
                <w:sz w:val="21"/>
                <w:szCs w:val="21"/>
              </w:rPr>
            </w:pPr>
          </w:p>
        </w:tc>
      </w:tr>
      <w:tr>
        <w:tblPrEx>
          <w:tblCellMar>
            <w:top w:w="15" w:type="dxa"/>
            <w:left w:w="15" w:type="dxa"/>
            <w:bottom w:w="15" w:type="dxa"/>
            <w:right w:w="15" w:type="dxa"/>
          </w:tblCellMar>
        </w:tblPrEx>
        <w:trPr>
          <w:trHeight w:val="540" w:hRule="atLeast"/>
          <w:jc w:val="center"/>
        </w:trPr>
        <w:tc>
          <w:tcPr>
            <w:tcW w:w="301" w:type="pct"/>
            <w:vMerge w:val="continue"/>
            <w:tcBorders>
              <w:left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p>
        </w:tc>
        <w:tc>
          <w:tcPr>
            <w:tcW w:w="600" w:type="pct"/>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核心交换机</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2</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left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1"/>
                <w:szCs w:val="21"/>
              </w:rPr>
            </w:pPr>
          </w:p>
        </w:tc>
        <w:tc>
          <w:tcPr>
            <w:tcW w:w="608" w:type="pct"/>
            <w:vMerge w:val="continue"/>
            <w:tcBorders>
              <w:left w:val="single" w:color="000000" w:sz="4" w:space="0"/>
              <w:right w:val="single" w:color="000000" w:sz="4" w:space="0"/>
            </w:tcBorders>
            <w:shd w:val="clear" w:color="auto" w:fill="auto"/>
            <w:vAlign w:val="center"/>
          </w:tcPr>
          <w:p>
            <w:pPr>
              <w:pStyle w:val="2"/>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540" w:hRule="atLeast"/>
          <w:jc w:val="center"/>
        </w:trPr>
        <w:tc>
          <w:tcPr>
            <w:tcW w:w="301" w:type="pct"/>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汇聚交换机</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bidi="ar"/>
              </w:rPr>
              <w:t>1</w:t>
            </w:r>
            <w:r>
              <w:rPr>
                <w:rFonts w:hint="eastAsia" w:ascii="宋体" w:hAnsi="宋体" w:eastAsia="宋体" w:cs="宋体"/>
                <w:color w:val="auto"/>
                <w:sz w:val="21"/>
                <w:szCs w:val="21"/>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left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left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285" w:hRule="atLeast"/>
          <w:jc w:val="center"/>
        </w:trPr>
        <w:tc>
          <w:tcPr>
            <w:tcW w:w="301" w:type="pct"/>
            <w:vMerge w:val="continue"/>
            <w:tcBorders>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接入交换机</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540" w:hRule="atLeast"/>
          <w:jc w:val="center"/>
        </w:trPr>
        <w:tc>
          <w:tcPr>
            <w:tcW w:w="301" w:type="pct"/>
            <w:vMerge w:val="restart"/>
            <w:tcBorders>
              <w:top w:val="single" w:color="000000" w:sz="4" w:space="0"/>
              <w:left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4</w:t>
            </w:r>
          </w:p>
        </w:tc>
        <w:tc>
          <w:tcPr>
            <w:tcW w:w="6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机房关键设备运维</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防火墙1</w:t>
            </w:r>
          </w:p>
        </w:tc>
        <w:tc>
          <w:tcPr>
            <w:tcW w:w="3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2</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1、专业服务人员每周升级IPS入侵防御、WAF应用防火墙规则库；</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2、根据用户提交需求进行维护和配置，日常运维若发现异常事件故障及时记录，立即向用户提交异常报告情况及解决方案，方案得到用户确认和授权后，与相关人员及时处理异常事件，必要封禁异常IP地址，事后提交处理报告。</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3、根据业务系统的具体需求，定期提交优化方案，方案得到用户确认和授权后，及时优化调整安全策略，提升防护能力。</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4、及时记录网络变更情况，记录设备的现行策略配置形成excel文件存档并备份配置文件，配置文件规则库文档进行每周更新。</w:t>
            </w:r>
          </w:p>
          <w:p>
            <w:pPr>
              <w:spacing w:line="360" w:lineRule="auto"/>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5、设立管理文件夹，有序存放配置备份文件，方便管理和使用。</w:t>
            </w:r>
          </w:p>
        </w:tc>
        <w:tc>
          <w:tcPr>
            <w:tcW w:w="608"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540" w:hRule="atLeast"/>
          <w:jc w:val="center"/>
        </w:trPr>
        <w:tc>
          <w:tcPr>
            <w:tcW w:w="301" w:type="pct"/>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防火墙2</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2</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540" w:hRule="atLeast"/>
          <w:jc w:val="center"/>
        </w:trPr>
        <w:tc>
          <w:tcPr>
            <w:tcW w:w="301" w:type="pct"/>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WAF应用防火墙</w:t>
            </w:r>
          </w:p>
        </w:tc>
        <w:tc>
          <w:tcPr>
            <w:tcW w:w="307" w:type="pct"/>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2</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540" w:hRule="atLeast"/>
          <w:jc w:val="center"/>
        </w:trPr>
        <w:tc>
          <w:tcPr>
            <w:tcW w:w="301" w:type="pct"/>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IPS入侵防御</w:t>
            </w:r>
            <w:r>
              <w:rPr>
                <w:rFonts w:hint="eastAsia" w:ascii="宋体" w:hAnsi="宋体" w:eastAsia="宋体" w:cs="宋体"/>
                <w:color w:val="auto"/>
                <w:sz w:val="21"/>
                <w:szCs w:val="21"/>
                <w:lang w:val="en-US" w:eastAsia="zh-CN" w:bidi="ar"/>
              </w:rPr>
              <w:t>1</w:t>
            </w:r>
          </w:p>
        </w:tc>
        <w:tc>
          <w:tcPr>
            <w:tcW w:w="307" w:type="pct"/>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2</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540" w:hRule="atLeast"/>
          <w:jc w:val="center"/>
        </w:trPr>
        <w:tc>
          <w:tcPr>
            <w:tcW w:w="301" w:type="pct"/>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抗DDOS防护设备</w:t>
            </w:r>
          </w:p>
        </w:tc>
        <w:tc>
          <w:tcPr>
            <w:tcW w:w="307" w:type="pct"/>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540" w:hRule="atLeast"/>
          <w:jc w:val="center"/>
        </w:trPr>
        <w:tc>
          <w:tcPr>
            <w:tcW w:w="301" w:type="pct"/>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IPS入侵防御</w:t>
            </w:r>
            <w:r>
              <w:rPr>
                <w:rFonts w:hint="eastAsia" w:ascii="宋体" w:hAnsi="宋体" w:eastAsia="宋体" w:cs="宋体"/>
                <w:color w:val="auto"/>
                <w:sz w:val="21"/>
                <w:szCs w:val="21"/>
                <w:lang w:val="en-US" w:eastAsia="zh-CN" w:bidi="ar"/>
              </w:rPr>
              <w:t>2</w:t>
            </w:r>
          </w:p>
        </w:tc>
        <w:tc>
          <w:tcPr>
            <w:tcW w:w="307" w:type="pct"/>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bidi="ar"/>
              </w:rPr>
              <w:t>2</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285" w:hRule="atLeast"/>
          <w:jc w:val="center"/>
        </w:trPr>
        <w:tc>
          <w:tcPr>
            <w:tcW w:w="301" w:type="pct"/>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内网防火墙</w:t>
            </w:r>
            <w:r>
              <w:rPr>
                <w:rFonts w:hint="eastAsia" w:ascii="宋体" w:hAnsi="宋体" w:eastAsia="宋体" w:cs="宋体"/>
                <w:color w:val="auto"/>
                <w:sz w:val="21"/>
                <w:szCs w:val="21"/>
                <w:lang w:val="en-US" w:eastAsia="zh-CN" w:bidi="ar"/>
              </w:rPr>
              <w:t>1</w:t>
            </w:r>
          </w:p>
        </w:tc>
        <w:tc>
          <w:tcPr>
            <w:tcW w:w="307" w:type="pct"/>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2</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285" w:hRule="atLeast"/>
          <w:jc w:val="center"/>
        </w:trPr>
        <w:tc>
          <w:tcPr>
            <w:tcW w:w="301" w:type="pct"/>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内网防火墙</w:t>
            </w:r>
            <w:r>
              <w:rPr>
                <w:rFonts w:hint="eastAsia" w:ascii="宋体" w:hAnsi="宋体" w:eastAsia="宋体" w:cs="宋体"/>
                <w:color w:val="auto"/>
                <w:sz w:val="21"/>
                <w:szCs w:val="21"/>
                <w:lang w:val="en-US" w:eastAsia="zh-CN" w:bidi="ar"/>
              </w:rPr>
              <w:t>2</w:t>
            </w:r>
          </w:p>
        </w:tc>
        <w:tc>
          <w:tcPr>
            <w:tcW w:w="307" w:type="pct"/>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2</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285" w:hRule="atLeast"/>
          <w:jc w:val="center"/>
        </w:trPr>
        <w:tc>
          <w:tcPr>
            <w:tcW w:w="301" w:type="pct"/>
            <w:vMerge w:val="continue"/>
            <w:tcBorders>
              <w:left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VPN网关</w:t>
            </w:r>
          </w:p>
        </w:tc>
        <w:tc>
          <w:tcPr>
            <w:tcW w:w="307" w:type="pct"/>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bidi="ar"/>
              </w:rPr>
              <w:t>4</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285" w:hRule="atLeast"/>
          <w:jc w:val="center"/>
        </w:trPr>
        <w:tc>
          <w:tcPr>
            <w:tcW w:w="301" w:type="pct"/>
            <w:vMerge w:val="continue"/>
            <w:tcBorders>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其它安全设备</w:t>
            </w:r>
          </w:p>
        </w:tc>
        <w:tc>
          <w:tcPr>
            <w:tcW w:w="307" w:type="pct"/>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12台</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1620" w:hRule="atLeast"/>
          <w:jc w:val="center"/>
        </w:trPr>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5</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托管服务器维护</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信息系统服务器运维</w:t>
            </w:r>
          </w:p>
        </w:tc>
        <w:tc>
          <w:tcPr>
            <w:tcW w:w="307" w:type="pct"/>
            <w:tcBorders>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bidi="ar"/>
              </w:rPr>
              <w:t>7</w:t>
            </w:r>
            <w:r>
              <w:rPr>
                <w:rFonts w:hint="eastAsia" w:ascii="宋体" w:hAnsi="宋体" w:eastAsia="宋体" w:cs="宋体"/>
                <w:color w:val="auto"/>
                <w:sz w:val="21"/>
                <w:szCs w:val="21"/>
                <w:lang w:val="en-US" w:eastAsia="zh-CN" w:bidi="ar"/>
              </w:rPr>
              <w:t>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tcBorders>
              <w:top w:val="single" w:color="auto"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1、服务器操作系统的运维服务包括系统问题分析、开放服务检查、系统自身漏洞检查、漏洞补丁定期更新、病毒库定期更新，服务器是软硬件设备故障维修，建立详细运维记录台账。</w:t>
            </w:r>
          </w:p>
          <w:p>
            <w:pPr>
              <w:spacing w:line="360" w:lineRule="auto"/>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2、定期进行预防性杀毒及补丁更新，每周提交运维台账资料。</w:t>
            </w:r>
          </w:p>
        </w:tc>
        <w:tc>
          <w:tcPr>
            <w:tcW w:w="608" w:type="pct"/>
            <w:tcBorders>
              <w:top w:val="single" w:color="auto"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810" w:hRule="atLeast"/>
          <w:jc w:val="center"/>
        </w:trPr>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6</w:t>
            </w:r>
          </w:p>
        </w:tc>
        <w:tc>
          <w:tcPr>
            <w:tcW w:w="6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存储设备</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双活异地冗灾存储</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套</w:t>
            </w:r>
          </w:p>
        </w:tc>
        <w:tc>
          <w:tcPr>
            <w:tcW w:w="21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1、定期检测各光纤交换机的端口级联状态，级联光纤交换机之间通信是否正常，根据用户设备变更需求优化调整服务器和存储ZONE资源配置，并备份配置信息；</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2、定期检测双活存储节点的同步状态及链路冗余状态，各节点存储控制器的链路状态信息、磁盘状态及阵列信息、电源状态信息，根据用户需求对存储卷做映射配置、资源调整；</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3、定期检测存储控制器的链路状态信息、磁盘状态及阵列信息、电源状态信息，根据用户需求对存储做卷映射配置、资源调整；</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4、对设备出现的故障提供运维处理服务，提交检测报告和解决方案，协助用户及时解除各类故障对业务的影响，缩小影响时间，提高服务保障。</w:t>
            </w:r>
          </w:p>
          <w:p>
            <w:pPr>
              <w:spacing w:line="360" w:lineRule="auto"/>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5、根据运维服务内容，每季度提交运维报告。</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540" w:hRule="atLeast"/>
          <w:jc w:val="center"/>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双活冗灾存储</w:t>
            </w:r>
          </w:p>
        </w:tc>
        <w:tc>
          <w:tcPr>
            <w:tcW w:w="3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2</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套</w:t>
            </w:r>
          </w:p>
        </w:tc>
        <w:tc>
          <w:tcPr>
            <w:tcW w:w="21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285" w:hRule="atLeast"/>
          <w:jc w:val="center"/>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存储</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2</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套</w:t>
            </w:r>
          </w:p>
        </w:tc>
        <w:tc>
          <w:tcPr>
            <w:tcW w:w="21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285" w:hRule="atLeast"/>
          <w:jc w:val="center"/>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备份存储</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bidi="ar"/>
              </w:rPr>
              <w:t>3</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套</w:t>
            </w:r>
          </w:p>
        </w:tc>
        <w:tc>
          <w:tcPr>
            <w:tcW w:w="21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285" w:hRule="atLeast"/>
          <w:jc w:val="center"/>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光纤交换机</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8</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285" w:hRule="atLeast"/>
          <w:jc w:val="center"/>
        </w:trPr>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7</w:t>
            </w:r>
          </w:p>
        </w:tc>
        <w:tc>
          <w:tcPr>
            <w:tcW w:w="6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虚拟化ESXI主机</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服务器1</w:t>
            </w:r>
          </w:p>
        </w:tc>
        <w:tc>
          <w:tcPr>
            <w:tcW w:w="3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7</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1、定期检测ESXI主机的电源、硬盘及和指示灯的状态信息并做好故障处置；</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2、根据需求配置服务器与存储的磁盘卷映射，并记录好相关信息；</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3、根据ESXI主机CPU、内存资源的使用状态合理调整ESXI主机的虚拟机分配；</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4、对设备出现的故障提供运维处理服务，提交检测报告和解决方案，协助用户及时解除各类故障对业务的影响，缩小影响时间，提高服务保障。</w:t>
            </w:r>
          </w:p>
          <w:p>
            <w:pPr>
              <w:spacing w:line="360" w:lineRule="auto"/>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5、根据运维服务内容，每周提交台账更新资料；</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285" w:hRule="atLeast"/>
          <w:jc w:val="center"/>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服务器2</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2</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285" w:hRule="atLeast"/>
          <w:jc w:val="center"/>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服务器3</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11</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285" w:hRule="atLeast"/>
          <w:jc w:val="center"/>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服务器4</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6</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1890" w:hRule="atLeast"/>
          <w:jc w:val="center"/>
        </w:trPr>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8</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VMware vCenter</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服务器5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2</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定期检查VMware vCenter主机的系统状态及硬盘、电源指示灯状态并做记录并做好故障处置，根据需求增加ESXI主机到VMware群集；每周提交台账更新资料。对设备出现的故障提供运维处理服务，提交检测报告和解决方案，协助用户及时解除各类故障对业务的影响，缩小影响时间，提高服务保障。</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285" w:hRule="atLeast"/>
          <w:jc w:val="center"/>
        </w:trPr>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9</w:t>
            </w:r>
          </w:p>
        </w:tc>
        <w:tc>
          <w:tcPr>
            <w:tcW w:w="6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VMware vSphere</w:t>
            </w:r>
          </w:p>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Client</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服务器6</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2</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定期检查VMware vSphere Client主机的系统状态及硬盘、电源指示灯状态信息并做好故障处置，每周提交台账更新资料。</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285" w:hRule="atLeast"/>
          <w:jc w:val="center"/>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服务器7</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台</w:t>
            </w:r>
          </w:p>
        </w:tc>
        <w:tc>
          <w:tcPr>
            <w:tcW w:w="21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810" w:hRule="atLeast"/>
          <w:jc w:val="center"/>
        </w:trPr>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10</w:t>
            </w:r>
          </w:p>
        </w:tc>
        <w:tc>
          <w:tcPr>
            <w:tcW w:w="6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VMware</w:t>
            </w:r>
          </w:p>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虚拟化群集</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关键业务信息系统镜像备份</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项</w:t>
            </w:r>
          </w:p>
        </w:tc>
        <w:tc>
          <w:tcPr>
            <w:tcW w:w="214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1、关键业务系统30个，周/次；</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2、中等业务系统30个，月/次；</w:t>
            </w:r>
          </w:p>
          <w:p>
            <w:pPr>
              <w:spacing w:line="360" w:lineRule="auto"/>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3、其余季/次</w:t>
            </w:r>
          </w:p>
        </w:tc>
        <w:tc>
          <w:tcPr>
            <w:tcW w:w="608" w:type="pct"/>
            <w:vMerge w:val="restart"/>
            <w:tcBorders>
              <w:top w:val="single" w:color="000000" w:sz="4" w:space="0"/>
              <w:left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1155" w:hRule="atLeast"/>
          <w:jc w:val="center"/>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信息系统季度运维（业务系统</w:t>
            </w:r>
            <w:r>
              <w:rPr>
                <w:rFonts w:hint="eastAsia" w:ascii="宋体" w:hAnsi="宋体" w:eastAsia="宋体" w:cs="宋体"/>
                <w:color w:val="auto"/>
                <w:sz w:val="21"/>
                <w:szCs w:val="21"/>
                <w:lang w:eastAsia="zh-CN" w:bidi="ar"/>
              </w:rPr>
              <w:t>2</w:t>
            </w:r>
            <w:r>
              <w:rPr>
                <w:rFonts w:hint="eastAsia" w:ascii="宋体" w:hAnsi="宋体" w:eastAsia="宋体" w:cs="宋体"/>
                <w:color w:val="auto"/>
                <w:sz w:val="21"/>
                <w:szCs w:val="21"/>
                <w:lang w:val="en-US" w:eastAsia="zh-CN" w:bidi="ar"/>
              </w:rPr>
              <w:t>85</w:t>
            </w:r>
            <w:r>
              <w:rPr>
                <w:rFonts w:hint="eastAsia" w:ascii="宋体" w:hAnsi="宋体" w:eastAsia="宋体" w:cs="宋体"/>
                <w:color w:val="auto"/>
                <w:sz w:val="21"/>
                <w:szCs w:val="21"/>
                <w:lang w:bidi="ar"/>
              </w:rPr>
              <w:t>套，虚拟机数量5</w:t>
            </w:r>
            <w:r>
              <w:rPr>
                <w:rFonts w:hint="eastAsia" w:ascii="宋体" w:hAnsi="宋体" w:eastAsia="宋体" w:cs="宋体"/>
                <w:color w:val="auto"/>
                <w:sz w:val="21"/>
                <w:szCs w:val="21"/>
                <w:lang w:eastAsia="zh-CN" w:bidi="ar"/>
              </w:rPr>
              <w:t>4</w:t>
            </w:r>
            <w:r>
              <w:rPr>
                <w:rFonts w:hint="eastAsia" w:ascii="宋体" w:hAnsi="宋体" w:eastAsia="宋体" w:cs="宋体"/>
                <w:color w:val="auto"/>
                <w:sz w:val="21"/>
                <w:szCs w:val="21"/>
                <w:lang w:val="en-US" w:eastAsia="zh-CN" w:bidi="ar"/>
              </w:rPr>
              <w:t>8</w:t>
            </w:r>
            <w:r>
              <w:rPr>
                <w:rFonts w:hint="eastAsia" w:ascii="宋体" w:hAnsi="宋体" w:eastAsia="宋体" w:cs="宋体"/>
                <w:color w:val="auto"/>
                <w:sz w:val="21"/>
                <w:szCs w:val="21"/>
                <w:lang w:bidi="ar"/>
              </w:rPr>
              <w:t>台）</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项</w:t>
            </w:r>
          </w:p>
        </w:tc>
        <w:tc>
          <w:tcPr>
            <w:tcW w:w="214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1、按季度对电子政务网的业务系统虚拟机进行专业运维（系统运行，补丁、杀毒软件更新等），对系统警告、异常情况、错误信息进行分析，提供相关的巡检报告；</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2、对服务器系统进行评估加固，根据分析结果对IIS业务应用的调整和优化；对虚拟机系统做季度备份，定期的技术交流；</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3、对自建的Vmware云计算机平台相关设备进行清算登记，平台所有硬件设备和虚拟机性能进行分析，统计使用单位和虚拟机信息系统情况，1次/周进行巡检工作并形成报告上交。</w:t>
            </w:r>
          </w:p>
          <w:p>
            <w:pPr>
              <w:spacing w:line="360" w:lineRule="auto"/>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4、对设备出现的故障提供运维处理服务，提交检测报告和解决方案，协助用户及时解除各类故障对业务的影响，缩小影响时间，提高服务保障。</w:t>
            </w:r>
          </w:p>
        </w:tc>
        <w:tc>
          <w:tcPr>
            <w:tcW w:w="608" w:type="pct"/>
            <w:vMerge w:val="continue"/>
            <w:tcBorders>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810" w:hRule="atLeast"/>
          <w:jc w:val="center"/>
        </w:trPr>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11</w:t>
            </w:r>
          </w:p>
        </w:tc>
        <w:tc>
          <w:tcPr>
            <w:tcW w:w="6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网管监控系统</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网络监控系统运维（190台设备）</w:t>
            </w:r>
          </w:p>
        </w:tc>
        <w:tc>
          <w:tcPr>
            <w:tcW w:w="307" w:type="pct"/>
            <w:tcBorders>
              <w:top w:val="single" w:color="000000" w:sz="4" w:space="0"/>
              <w:left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项</w:t>
            </w:r>
          </w:p>
        </w:tc>
        <w:tc>
          <w:tcPr>
            <w:tcW w:w="21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1、定期查看网络监控系统的运行状态，发现链路异常及时协助处理，并根据用户要求更新网络拓扑结构并保存配置。</w:t>
            </w:r>
          </w:p>
          <w:p>
            <w:pPr>
              <w:spacing w:line="360" w:lineRule="auto"/>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2、定期对电子政务机房内更新的服务器操作系统安装Zabbix agent客户端，并接入Zabbix网管监控平台进行监控，处理相关事件。</w:t>
            </w:r>
          </w:p>
        </w:tc>
        <w:tc>
          <w:tcPr>
            <w:tcW w:w="608" w:type="pct"/>
            <w:vMerge w:val="restart"/>
            <w:tcBorders>
              <w:top w:val="single" w:color="000000" w:sz="4" w:space="0"/>
              <w:left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540" w:hRule="atLeast"/>
          <w:jc w:val="center"/>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color w:val="auto"/>
                <w:sz w:val="21"/>
                <w:szCs w:val="21"/>
              </w:rPr>
            </w:pPr>
          </w:p>
        </w:tc>
        <w:tc>
          <w:tcPr>
            <w:tcW w:w="600" w:type="pct"/>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sz w:val="21"/>
                <w:szCs w:val="21"/>
              </w:rPr>
            </w:pPr>
          </w:p>
        </w:tc>
        <w:tc>
          <w:tcPr>
            <w:tcW w:w="753" w:type="pct"/>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网管系统运维</w:t>
            </w:r>
          </w:p>
        </w:tc>
        <w:tc>
          <w:tcPr>
            <w:tcW w:w="307" w:type="pct"/>
            <w:tcBorders>
              <w:top w:val="single" w:color="000000" w:sz="4" w:space="0"/>
              <w:left w:val="single" w:color="000000" w:sz="4" w:space="0"/>
              <w:bottom w:val="single" w:color="auto"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w:t>
            </w:r>
          </w:p>
        </w:tc>
        <w:tc>
          <w:tcPr>
            <w:tcW w:w="286" w:type="pct"/>
            <w:tcBorders>
              <w:top w:val="single" w:color="000000" w:sz="4" w:space="0"/>
              <w:left w:val="single" w:color="000000" w:sz="4" w:space="0"/>
              <w:bottom w:val="single" w:color="auto"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项</w:t>
            </w:r>
          </w:p>
        </w:tc>
        <w:tc>
          <w:tcPr>
            <w:tcW w:w="21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c>
          <w:tcPr>
            <w:tcW w:w="608" w:type="pct"/>
            <w:vMerge w:val="continue"/>
            <w:tcBorders>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2376" w:hRule="atLeast"/>
          <w:jc w:val="center"/>
        </w:trPr>
        <w:tc>
          <w:tcPr>
            <w:tcW w:w="301" w:type="pct"/>
            <w:tcBorders>
              <w:top w:val="single" w:color="000000" w:sz="4" w:space="0"/>
              <w:left w:val="single" w:color="000000" w:sz="4" w:space="0"/>
              <w:bottom w:val="single" w:color="000000" w:sz="4" w:space="0"/>
              <w:right w:val="single" w:color="auto"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12</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基础网络环境的日常运维</w:t>
            </w:r>
          </w:p>
        </w:tc>
        <w:tc>
          <w:tcPr>
            <w:tcW w:w="75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机柜和物理链路</w:t>
            </w:r>
          </w:p>
        </w:tc>
        <w:tc>
          <w:tcPr>
            <w:tcW w:w="307"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w:t>
            </w:r>
          </w:p>
        </w:tc>
        <w:tc>
          <w:tcPr>
            <w:tcW w:w="286"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项</w:t>
            </w:r>
          </w:p>
        </w:tc>
        <w:tc>
          <w:tcPr>
            <w:tcW w:w="2143" w:type="pct"/>
            <w:tcBorders>
              <w:top w:val="single" w:color="000000" w:sz="4" w:space="0"/>
              <w:left w:val="single" w:color="auto"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提供网络双绞线链路、光纤跳线链路、机柜和设备间的维护服务。包括日常故障处理、应急故障处理、定期巡检等。包括：</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1、对设备机柜进行统一管理，统一编号登记，检查机柜接地、电源和插座情况等，以及配合信息中心进行设备更新、设备替换等工作；</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2、网络传输线路的维护和修复，包括线路测试、标签、整理、端接、管槽维护、线路修复、设备区接口修复等；机柜到工作区端跳线，配线架到交换机跳线；机柜配线架和标识等；</w:t>
            </w:r>
          </w:p>
          <w:p>
            <w:pPr>
              <w:spacing w:line="360" w:lineRule="auto"/>
              <w:textAlignment w:val="center"/>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bidi="ar"/>
              </w:rPr>
              <w:t>3、日常线缆整理服务。提供机柜、设备间等线路端接密集位置的线缆整理服务，包括各种通信铜缆、光纤、电源线缆等线缆的整理、线缆统一配置、增加线缆过线槽、设备位置调整、线缆标签、设备标签、整理线缆管理文档等服务，以便实现网络管理和服务精细化；</w:t>
            </w:r>
          </w:p>
          <w:p>
            <w:pPr>
              <w:spacing w:line="360" w:lineRule="auto"/>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4、线缆标签和管理服务。提供各种线缆标签、设备标签、端接位置标签、资产标签等各种标签和管理服务。内容包括收集需要标签对象的各种资料；定义标签编码方式，制定标签管理方案；标签打印和标贴。</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卫生云相关设备、浪潮云相关设备、UPS供电系统、精密空调、环境监控系统不在本维护内</w:t>
            </w:r>
          </w:p>
        </w:tc>
      </w:tr>
      <w:tr>
        <w:tblPrEx>
          <w:tblCellMar>
            <w:top w:w="15" w:type="dxa"/>
            <w:left w:w="15" w:type="dxa"/>
            <w:bottom w:w="15" w:type="dxa"/>
            <w:right w:w="15" w:type="dxa"/>
          </w:tblCellMar>
        </w:tblPrEx>
        <w:trPr>
          <w:trHeight w:val="1080" w:hRule="atLeast"/>
          <w:jc w:val="center"/>
        </w:trPr>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13</w:t>
            </w:r>
          </w:p>
        </w:tc>
        <w:tc>
          <w:tcPr>
            <w:tcW w:w="600" w:type="pc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机房应急响应处置</w:t>
            </w:r>
          </w:p>
        </w:tc>
        <w:tc>
          <w:tcPr>
            <w:tcW w:w="753" w:type="pc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应急响应处置</w:t>
            </w:r>
          </w:p>
        </w:tc>
        <w:tc>
          <w:tcPr>
            <w:tcW w:w="307" w:type="pct"/>
            <w:tcBorders>
              <w:top w:val="single" w:color="auto"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w:t>
            </w:r>
          </w:p>
        </w:tc>
        <w:tc>
          <w:tcPr>
            <w:tcW w:w="286" w:type="pct"/>
            <w:tcBorders>
              <w:top w:val="single" w:color="auto"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项</w:t>
            </w:r>
          </w:p>
        </w:tc>
        <w:tc>
          <w:tcPr>
            <w:tcW w:w="214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负责提供7×24小时专人应急服务热线，接到应急报障后，按照江门市</w:t>
            </w:r>
            <w:r>
              <w:rPr>
                <w:rFonts w:hint="eastAsia" w:ascii="宋体" w:hAnsi="宋体" w:eastAsia="宋体" w:cs="宋体"/>
                <w:color w:val="auto"/>
                <w:sz w:val="21"/>
                <w:szCs w:val="21"/>
                <w:lang w:eastAsia="zh-CN" w:bidi="ar"/>
              </w:rPr>
              <w:t>大数据管理</w:t>
            </w:r>
            <w:r>
              <w:rPr>
                <w:rFonts w:hint="eastAsia" w:ascii="宋体" w:hAnsi="宋体" w:eastAsia="宋体" w:cs="宋体"/>
                <w:color w:val="auto"/>
                <w:sz w:val="21"/>
                <w:szCs w:val="21"/>
                <w:lang w:bidi="ar"/>
              </w:rPr>
              <w:t>中心的安排，在发生重大事件、防风抗灾等期间，迅速派出应急队伍，安排专业工程师到机房现场随时响应。</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r>
        <w:tblPrEx>
          <w:tblCellMar>
            <w:top w:w="15" w:type="dxa"/>
            <w:left w:w="15" w:type="dxa"/>
            <w:bottom w:w="15" w:type="dxa"/>
            <w:right w:w="15" w:type="dxa"/>
          </w:tblCellMar>
        </w:tblPrEx>
        <w:trPr>
          <w:trHeight w:val="1080" w:hRule="atLeast"/>
          <w:jc w:val="center"/>
        </w:trPr>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14</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驻场维护</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工程师驻场</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项</w:t>
            </w:r>
          </w:p>
        </w:tc>
        <w:tc>
          <w:tcPr>
            <w:tcW w:w="214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选派专业技术人员1名到江门市</w:t>
            </w:r>
            <w:r>
              <w:rPr>
                <w:rFonts w:hint="eastAsia" w:ascii="宋体" w:hAnsi="宋体" w:eastAsia="宋体" w:cs="宋体"/>
                <w:color w:val="auto"/>
                <w:sz w:val="21"/>
                <w:szCs w:val="21"/>
                <w:lang w:eastAsia="zh-CN" w:bidi="ar"/>
              </w:rPr>
              <w:t>大数据管理</w:t>
            </w:r>
            <w:r>
              <w:rPr>
                <w:rFonts w:hint="eastAsia" w:ascii="宋体" w:hAnsi="宋体" w:eastAsia="宋体" w:cs="宋体"/>
                <w:color w:val="auto"/>
                <w:sz w:val="21"/>
                <w:szCs w:val="21"/>
                <w:lang w:bidi="ar"/>
              </w:rPr>
              <w:t>中心驻点，制订及遵守各项规章制度和安全保密规定，提供按照江门市</w:t>
            </w:r>
            <w:r>
              <w:rPr>
                <w:rFonts w:hint="eastAsia" w:ascii="宋体" w:hAnsi="宋体" w:eastAsia="宋体" w:cs="宋体"/>
                <w:color w:val="auto"/>
                <w:sz w:val="21"/>
                <w:szCs w:val="21"/>
                <w:lang w:eastAsia="zh-CN" w:bidi="ar"/>
              </w:rPr>
              <w:t>大数据管理</w:t>
            </w:r>
            <w:r>
              <w:rPr>
                <w:rFonts w:hint="eastAsia" w:ascii="宋体" w:hAnsi="宋体" w:eastAsia="宋体" w:cs="宋体"/>
                <w:color w:val="auto"/>
                <w:sz w:val="21"/>
                <w:szCs w:val="21"/>
                <w:lang w:bidi="ar"/>
              </w:rPr>
              <w:t>中心上下班时间作息，应服从安排。</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宋体"/>
                <w:color w:val="auto"/>
                <w:sz w:val="21"/>
                <w:szCs w:val="21"/>
              </w:rPr>
            </w:pPr>
          </w:p>
        </w:tc>
      </w:tr>
    </w:tbl>
    <w:p>
      <w:pPr>
        <w:autoSpaceDE w:val="0"/>
        <w:autoSpaceDN w:val="0"/>
        <w:adjustRightInd w:val="0"/>
        <w:spacing w:line="360" w:lineRule="auto"/>
        <w:ind w:firstLine="482" w:firstLineChars="200"/>
        <w:jc w:val="left"/>
        <w:rPr>
          <w:rFonts w:ascii="宋体" w:eastAsia="宋体" w:cs="宋体"/>
          <w:b/>
          <w:bCs/>
          <w:kern w:val="0"/>
          <w:sz w:val="24"/>
          <w:szCs w:val="24"/>
        </w:rPr>
      </w:pPr>
      <w:r>
        <w:rPr>
          <w:rFonts w:hint="eastAsia" w:ascii="宋体" w:eastAsia="宋体" w:cs="宋体"/>
          <w:b/>
          <w:bCs/>
          <w:kern w:val="0"/>
          <w:sz w:val="24"/>
          <w:szCs w:val="24"/>
        </w:rPr>
        <w:t xml:space="preserve">第二条 </w:t>
      </w:r>
      <w:r>
        <w:rPr>
          <w:rFonts w:ascii="宋体" w:eastAsia="宋体" w:cs="宋体"/>
          <w:b/>
          <w:bCs/>
          <w:kern w:val="0"/>
          <w:sz w:val="24"/>
          <w:szCs w:val="24"/>
        </w:rPr>
        <w:t xml:space="preserve"> </w:t>
      </w:r>
      <w:r>
        <w:rPr>
          <w:rFonts w:hint="eastAsia" w:ascii="宋体" w:eastAsia="宋体" w:cs="宋体"/>
          <w:b/>
          <w:bCs/>
          <w:kern w:val="0"/>
          <w:sz w:val="24"/>
          <w:szCs w:val="24"/>
        </w:rPr>
        <w:t>产品的质量要求、售后服务及损害赔偿</w:t>
      </w:r>
    </w:p>
    <w:p>
      <w:pPr>
        <w:numPr>
          <w:ilvl w:val="0"/>
          <w:numId w:val="2"/>
        </w:numPr>
        <w:autoSpaceDE w:val="0"/>
        <w:autoSpaceDN w:val="0"/>
        <w:adjustRightInd w:val="0"/>
        <w:spacing w:line="360" w:lineRule="auto"/>
        <w:ind w:firstLine="420" w:firstLineChars="0"/>
        <w:jc w:val="left"/>
        <w:rPr>
          <w:rFonts w:ascii="宋体" w:eastAsia="宋体" w:cs="宋体"/>
          <w:kern w:val="0"/>
          <w:sz w:val="24"/>
          <w:szCs w:val="24"/>
        </w:rPr>
      </w:pPr>
      <w:r>
        <w:rPr>
          <w:rFonts w:hint="eastAsia" w:ascii="宋体" w:eastAsia="宋体" w:cs="宋体"/>
          <w:kern w:val="0"/>
          <w:sz w:val="24"/>
          <w:szCs w:val="24"/>
        </w:rPr>
        <w:t>按照采购文件、乙方的响应文件、澄清文件、成交通知书和合同约定的要求执行。</w:t>
      </w:r>
    </w:p>
    <w:p>
      <w:pPr>
        <w:numPr>
          <w:ilvl w:val="0"/>
          <w:numId w:val="2"/>
        </w:numPr>
        <w:autoSpaceDE w:val="0"/>
        <w:autoSpaceDN w:val="0"/>
        <w:adjustRightInd w:val="0"/>
        <w:spacing w:line="360" w:lineRule="auto"/>
        <w:ind w:firstLine="420" w:firstLineChars="0"/>
        <w:jc w:val="left"/>
        <w:rPr>
          <w:rFonts w:hint="eastAsia" w:ascii="宋体" w:eastAsia="宋体" w:cs="宋体"/>
          <w:kern w:val="0"/>
          <w:sz w:val="24"/>
          <w:szCs w:val="24"/>
        </w:rPr>
      </w:pPr>
      <w:r>
        <w:rPr>
          <w:rFonts w:hint="eastAsia" w:ascii="宋体" w:eastAsia="宋体" w:cs="宋体"/>
          <w:kern w:val="0"/>
          <w:sz w:val="24"/>
          <w:szCs w:val="24"/>
        </w:rPr>
        <w:t>服务要求：</w:t>
      </w:r>
    </w:p>
    <w:p>
      <w:pPr>
        <w:autoSpaceDE w:val="0"/>
        <w:autoSpaceDN w:val="0"/>
        <w:adjustRightInd w:val="0"/>
        <w:spacing w:line="360" w:lineRule="auto"/>
        <w:ind w:firstLine="480" w:firstLineChars="200"/>
        <w:jc w:val="left"/>
        <w:rPr>
          <w:rFonts w:hint="eastAsia" w:ascii="宋体" w:eastAsia="宋体" w:cs="宋体" w:hAnsiTheme="minorHAnsi"/>
          <w:kern w:val="0"/>
          <w:sz w:val="24"/>
          <w:szCs w:val="24"/>
          <w:lang w:val="en-US" w:eastAsia="zh-CN" w:bidi="ar-SA"/>
        </w:rPr>
      </w:pPr>
      <w:r>
        <w:rPr>
          <w:rFonts w:hint="eastAsia" w:ascii="宋体" w:eastAsia="宋体" w:cs="宋体" w:hAnsiTheme="minorHAnsi"/>
          <w:kern w:val="0"/>
          <w:sz w:val="24"/>
          <w:szCs w:val="24"/>
          <w:lang w:val="en-US" w:eastAsia="zh-CN" w:bidi="ar-SA"/>
        </w:rPr>
        <w:t>1.派驻1人驻点江门市大数据管理中心。</w:t>
      </w:r>
    </w:p>
    <w:p>
      <w:pPr>
        <w:autoSpaceDE w:val="0"/>
        <w:autoSpaceDN w:val="0"/>
        <w:adjustRightInd w:val="0"/>
        <w:spacing w:line="360" w:lineRule="auto"/>
        <w:ind w:firstLine="480" w:firstLineChars="200"/>
        <w:jc w:val="left"/>
        <w:rPr>
          <w:rFonts w:hint="eastAsia" w:ascii="宋体" w:eastAsia="宋体" w:cs="宋体" w:hAnsiTheme="minorHAnsi"/>
          <w:kern w:val="0"/>
          <w:sz w:val="24"/>
          <w:szCs w:val="24"/>
          <w:lang w:val="en-US" w:eastAsia="zh-CN" w:bidi="ar-SA"/>
        </w:rPr>
      </w:pPr>
      <w:r>
        <w:rPr>
          <w:rFonts w:hint="eastAsia" w:ascii="宋体" w:eastAsia="宋体" w:cs="宋体" w:hAnsiTheme="minorHAnsi"/>
          <w:kern w:val="0"/>
          <w:sz w:val="24"/>
          <w:szCs w:val="24"/>
          <w:lang w:val="en-US" w:eastAsia="zh-CN" w:bidi="ar-SA"/>
        </w:rPr>
        <w:t>2.协助处理虚拟机资源申请进行IP资源分配、部署相关虚拟机等。</w:t>
      </w:r>
    </w:p>
    <w:p>
      <w:pPr>
        <w:autoSpaceDE w:val="0"/>
        <w:autoSpaceDN w:val="0"/>
        <w:adjustRightInd w:val="0"/>
        <w:spacing w:line="360" w:lineRule="auto"/>
        <w:ind w:firstLine="480" w:firstLineChars="200"/>
        <w:jc w:val="left"/>
        <w:rPr>
          <w:rFonts w:hint="eastAsia" w:ascii="宋体" w:eastAsia="宋体" w:cs="宋体" w:hAnsiTheme="minorHAnsi"/>
          <w:kern w:val="0"/>
          <w:sz w:val="24"/>
          <w:szCs w:val="24"/>
          <w:lang w:val="en-US" w:eastAsia="zh-CN" w:bidi="ar-SA"/>
        </w:rPr>
      </w:pPr>
      <w:r>
        <w:rPr>
          <w:rFonts w:hint="eastAsia" w:ascii="宋体" w:eastAsia="宋体" w:cs="宋体" w:hAnsiTheme="minorHAnsi"/>
          <w:kern w:val="0"/>
          <w:sz w:val="24"/>
          <w:szCs w:val="24"/>
          <w:lang w:val="en-US" w:eastAsia="zh-CN" w:bidi="ar-SA"/>
        </w:rPr>
        <w:t>3.根据用户要求对交换机、安全设备等进行维护和配置，定期对服务器操作系统进行预防性杀毒及补丁更新等。</w:t>
      </w:r>
    </w:p>
    <w:p>
      <w:pPr>
        <w:autoSpaceDE w:val="0"/>
        <w:autoSpaceDN w:val="0"/>
        <w:adjustRightInd w:val="0"/>
        <w:spacing w:line="360" w:lineRule="auto"/>
        <w:ind w:firstLine="480" w:firstLineChars="200"/>
        <w:jc w:val="left"/>
        <w:rPr>
          <w:rFonts w:hint="eastAsia" w:ascii="宋体" w:cs="宋体" w:hAnsiTheme="minorHAnsi"/>
          <w:kern w:val="0"/>
          <w:sz w:val="24"/>
          <w:szCs w:val="24"/>
          <w:lang w:val="en-US" w:eastAsia="zh-CN" w:bidi="ar-SA"/>
        </w:rPr>
      </w:pPr>
      <w:r>
        <w:rPr>
          <w:rFonts w:hint="eastAsia" w:ascii="宋体" w:cs="宋体" w:hAnsiTheme="minorHAnsi"/>
          <w:kern w:val="0"/>
          <w:sz w:val="24"/>
          <w:szCs w:val="24"/>
          <w:lang w:val="en-US" w:eastAsia="zh-CN" w:bidi="ar-SA"/>
        </w:rPr>
        <w:t>4.乙方负责培训使用人员，使其掌握系统的操作、日常维护保养及简单维修方法。</w:t>
      </w:r>
    </w:p>
    <w:p>
      <w:pPr>
        <w:numPr>
          <w:ilvl w:val="0"/>
          <w:numId w:val="2"/>
        </w:numPr>
        <w:autoSpaceDE w:val="0"/>
        <w:autoSpaceDN w:val="0"/>
        <w:adjustRightInd w:val="0"/>
        <w:spacing w:line="360" w:lineRule="auto"/>
        <w:ind w:firstLine="420" w:firstLineChars="0"/>
        <w:rPr>
          <w:rFonts w:hint="eastAsia" w:ascii="宋体" w:eastAsia="宋体" w:cs="宋体" w:hAnsiTheme="minorHAnsi"/>
          <w:kern w:val="0"/>
          <w:sz w:val="24"/>
          <w:szCs w:val="24"/>
          <w:lang w:val="en-US" w:eastAsia="zh-CN" w:bidi="ar-SA"/>
        </w:rPr>
      </w:pPr>
      <w:r>
        <w:rPr>
          <w:rFonts w:hint="eastAsia" w:ascii="宋体" w:eastAsia="宋体" w:cs="宋体" w:hAnsiTheme="minorHAnsi"/>
          <w:kern w:val="0"/>
          <w:sz w:val="24"/>
          <w:szCs w:val="24"/>
          <w:lang w:val="en-US" w:eastAsia="zh-CN" w:bidi="ar-SA"/>
        </w:rPr>
        <w:t>其他服务要求：</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eastAsia="宋体" w:cs="宋体" w:hAnsiTheme="minorHAnsi"/>
          <w:color w:val="auto"/>
          <w:spacing w:val="0"/>
          <w:kern w:val="0"/>
          <w:sz w:val="24"/>
          <w:szCs w:val="24"/>
          <w:lang w:val="en-US" w:eastAsia="zh-CN" w:bidi="ar-SA"/>
        </w:rPr>
      </w:pPr>
      <w:r>
        <w:rPr>
          <w:rFonts w:hint="eastAsia" w:ascii="宋体" w:eastAsia="宋体" w:cs="宋体"/>
          <w:spacing w:val="0"/>
          <w:kern w:val="0"/>
          <w:sz w:val="24"/>
          <w:szCs w:val="24"/>
          <w:lang w:val="en-US" w:eastAsia="zh-CN" w:bidi="ar-SA"/>
        </w:rPr>
        <w:t>1.</w:t>
      </w:r>
      <w:r>
        <w:rPr>
          <w:rFonts w:hint="eastAsia" w:ascii="宋体" w:eastAsia="宋体" w:cs="宋体" w:hAnsiTheme="minorHAnsi"/>
          <w:color w:val="auto"/>
          <w:spacing w:val="0"/>
          <w:kern w:val="0"/>
          <w:sz w:val="24"/>
          <w:szCs w:val="24"/>
          <w:lang w:val="en-US" w:eastAsia="zh-CN" w:bidi="ar-SA"/>
        </w:rPr>
        <w:t>服务响应：5*8小时驻场管理/上门服务，7*24小时应急维护和技术支持，7*24小时热线电话技术支持服务。</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eastAsia="宋体" w:cs="宋体" w:hAnsiTheme="minorHAnsi"/>
          <w:color w:val="auto"/>
          <w:spacing w:val="0"/>
          <w:kern w:val="0"/>
          <w:sz w:val="24"/>
          <w:szCs w:val="24"/>
          <w:lang w:val="en-US" w:eastAsia="zh-CN" w:bidi="ar-SA"/>
        </w:rPr>
      </w:pPr>
      <w:r>
        <w:rPr>
          <w:rFonts w:hint="eastAsia" w:ascii="宋体" w:eastAsia="宋体" w:cs="宋体"/>
          <w:spacing w:val="0"/>
          <w:kern w:val="0"/>
          <w:sz w:val="24"/>
          <w:szCs w:val="24"/>
          <w:lang w:val="en-US" w:eastAsia="zh-CN" w:bidi="ar-SA"/>
        </w:rPr>
        <w:t>2.</w:t>
      </w:r>
      <w:r>
        <w:rPr>
          <w:rFonts w:hint="eastAsia" w:ascii="宋体" w:eastAsia="宋体" w:cs="宋体" w:hAnsiTheme="minorHAnsi"/>
          <w:color w:val="auto"/>
          <w:spacing w:val="0"/>
          <w:kern w:val="0"/>
          <w:sz w:val="24"/>
          <w:szCs w:val="24"/>
          <w:lang w:val="en-US" w:eastAsia="zh-CN" w:bidi="ar-SA"/>
        </w:rPr>
        <w:t>工作时间：运维服务时间以正常工作时间需要为参考，工程师驻点/上门现场正常工作时间（上午8：30－12：00，下午14：30－17：30）为准。如有特殊情况在非正常工作时间内的维护工作，必须配合开展工作。</w:t>
      </w:r>
    </w:p>
    <w:p>
      <w:pPr>
        <w:autoSpaceDE w:val="0"/>
        <w:autoSpaceDN w:val="0"/>
        <w:adjustRightInd w:val="0"/>
        <w:spacing w:line="360" w:lineRule="auto"/>
        <w:ind w:firstLine="480" w:firstLineChars="200"/>
        <w:rPr>
          <w:rFonts w:hint="eastAsia" w:ascii="Calibri" w:hAnsi="Calibri" w:cs="Calibri"/>
          <w:kern w:val="2"/>
          <w:sz w:val="20"/>
          <w:szCs w:val="22"/>
          <w:lang w:val="en-US" w:eastAsia="zh-CN" w:bidi="ar-SA"/>
        </w:rPr>
      </w:pPr>
      <w:r>
        <w:rPr>
          <w:rFonts w:hint="eastAsia" w:ascii="宋体" w:eastAsia="宋体" w:cs="宋体"/>
          <w:spacing w:val="0"/>
          <w:kern w:val="0"/>
          <w:sz w:val="24"/>
          <w:szCs w:val="24"/>
          <w:lang w:val="en-US" w:eastAsia="zh-CN" w:bidi="ar-SA"/>
        </w:rPr>
        <w:t>3.</w:t>
      </w:r>
      <w:r>
        <w:rPr>
          <w:rFonts w:hint="eastAsia" w:ascii="宋体" w:eastAsia="宋体" w:cs="宋体" w:hAnsiTheme="minorHAnsi"/>
          <w:color w:val="auto"/>
          <w:spacing w:val="0"/>
          <w:kern w:val="0"/>
          <w:sz w:val="24"/>
          <w:szCs w:val="24"/>
          <w:lang w:val="en-US" w:eastAsia="zh-CN" w:bidi="ar-SA"/>
        </w:rPr>
        <w:t>故障运维：日常故障处理按照事故等级和处理标准处理；紧急故障应急处理，工作日2 小时内响应到位，非工作日 4 小时内响应到位，响应到位起 24 -48小时内提交故障诊断报告、具体解决方案及完成故障处理。</w:t>
      </w:r>
    </w:p>
    <w:p>
      <w:pPr>
        <w:numPr>
          <w:ilvl w:val="0"/>
          <w:numId w:val="2"/>
        </w:numPr>
        <w:autoSpaceDE w:val="0"/>
        <w:autoSpaceDN w:val="0"/>
        <w:adjustRightInd w:val="0"/>
        <w:spacing w:line="360" w:lineRule="auto"/>
        <w:ind w:firstLine="420" w:firstLineChars="0"/>
        <w:jc w:val="left"/>
        <w:rPr>
          <w:rFonts w:hint="eastAsia" w:ascii="宋体" w:eastAsia="宋体" w:cs="宋体"/>
          <w:kern w:val="0"/>
          <w:sz w:val="24"/>
          <w:szCs w:val="24"/>
        </w:rPr>
      </w:pPr>
      <w:r>
        <w:rPr>
          <w:rFonts w:hint="eastAsia" w:ascii="宋体" w:eastAsia="宋体" w:cs="宋体"/>
          <w:kern w:val="0"/>
          <w:sz w:val="24"/>
          <w:szCs w:val="24"/>
        </w:rPr>
        <w:t>如因乙方产品（或服务）自身质量或设计失误等乙方原因，导致甲方损失，乙方应予以赔偿。乙方应及时采取措施，尽一切合理的努力来减轻带给甲方的影响及造成的损失，如乙方未及时采取有效措施导致影响及损失扩大的，乙方也应承担该部分责任。</w:t>
      </w:r>
    </w:p>
    <w:p>
      <w:pPr>
        <w:autoSpaceDE w:val="0"/>
        <w:autoSpaceDN w:val="0"/>
        <w:adjustRightInd w:val="0"/>
        <w:spacing w:line="360" w:lineRule="auto"/>
        <w:ind w:firstLine="482" w:firstLineChars="200"/>
        <w:jc w:val="left"/>
        <w:rPr>
          <w:rFonts w:ascii="宋体" w:eastAsia="宋体" w:cs="宋体"/>
          <w:b/>
          <w:bCs/>
          <w:kern w:val="0"/>
          <w:sz w:val="24"/>
          <w:szCs w:val="24"/>
        </w:rPr>
      </w:pPr>
      <w:r>
        <w:rPr>
          <w:rFonts w:hint="eastAsia" w:ascii="宋体" w:eastAsia="宋体" w:cs="宋体"/>
          <w:b/>
          <w:bCs/>
          <w:kern w:val="0"/>
          <w:sz w:val="24"/>
          <w:szCs w:val="24"/>
        </w:rPr>
        <w:t xml:space="preserve">第三条 </w:t>
      </w:r>
      <w:r>
        <w:rPr>
          <w:rFonts w:ascii="宋体" w:eastAsia="宋体" w:cs="宋体"/>
          <w:b/>
          <w:bCs/>
          <w:kern w:val="0"/>
          <w:sz w:val="24"/>
          <w:szCs w:val="24"/>
        </w:rPr>
        <w:t xml:space="preserve"> </w:t>
      </w:r>
      <w:r>
        <w:rPr>
          <w:rFonts w:hint="eastAsia" w:ascii="宋体" w:eastAsia="宋体" w:cs="宋体"/>
          <w:b/>
          <w:bCs/>
          <w:kern w:val="0"/>
          <w:sz w:val="24"/>
          <w:szCs w:val="24"/>
        </w:rPr>
        <w:t>项目服务有效期/运维周期</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hint="eastAsia" w:ascii="宋体" w:eastAsia="宋体" w:cs="宋体"/>
          <w:kern w:val="0"/>
          <w:sz w:val="24"/>
          <w:szCs w:val="24"/>
        </w:rPr>
      </w:pPr>
      <w:r>
        <w:rPr>
          <w:rFonts w:hint="eastAsia" w:ascii="宋体" w:eastAsia="宋体" w:cs="宋体"/>
          <w:kern w:val="0"/>
          <w:sz w:val="24"/>
          <w:szCs w:val="24"/>
        </w:rPr>
        <w:t>完工期：</w:t>
      </w:r>
      <w:r>
        <w:rPr>
          <w:rFonts w:hint="eastAsia" w:ascii="宋体" w:eastAsia="宋体" w:cs="宋体"/>
          <w:kern w:val="0"/>
          <w:sz w:val="24"/>
          <w:szCs w:val="24"/>
          <w:lang w:eastAsia="zh-Hans"/>
        </w:rPr>
        <w:t>自合同签订生效之日起</w:t>
      </w:r>
      <w:r>
        <w:rPr>
          <w:rFonts w:hint="eastAsia" w:ascii="宋体" w:eastAsia="宋体" w:cs="宋体"/>
          <w:kern w:val="0"/>
          <w:sz w:val="24"/>
          <w:szCs w:val="24"/>
          <w:lang w:val="en-US" w:eastAsia="zh-CN"/>
        </w:rPr>
        <w:t>至2023年1月4日止。</w:t>
      </w:r>
    </w:p>
    <w:p>
      <w:pPr>
        <w:autoSpaceDE w:val="0"/>
        <w:autoSpaceDN w:val="0"/>
        <w:adjustRightInd w:val="0"/>
        <w:spacing w:line="360" w:lineRule="auto"/>
        <w:ind w:firstLine="482" w:firstLineChars="200"/>
        <w:jc w:val="left"/>
        <w:rPr>
          <w:rFonts w:ascii="宋体" w:eastAsia="宋体" w:cs="宋体"/>
          <w:b/>
          <w:bCs/>
          <w:kern w:val="0"/>
          <w:sz w:val="24"/>
          <w:szCs w:val="24"/>
        </w:rPr>
      </w:pPr>
      <w:r>
        <w:rPr>
          <w:rFonts w:hint="eastAsia" w:ascii="宋体" w:eastAsia="宋体" w:cs="宋体"/>
          <w:b/>
          <w:bCs/>
          <w:kern w:val="0"/>
          <w:sz w:val="24"/>
          <w:szCs w:val="24"/>
        </w:rPr>
        <w:t xml:space="preserve">第四条 </w:t>
      </w:r>
      <w:r>
        <w:rPr>
          <w:rFonts w:ascii="宋体" w:eastAsia="宋体" w:cs="宋体"/>
          <w:b/>
          <w:bCs/>
          <w:kern w:val="0"/>
          <w:sz w:val="24"/>
          <w:szCs w:val="24"/>
        </w:rPr>
        <w:t xml:space="preserve"> </w:t>
      </w:r>
      <w:r>
        <w:rPr>
          <w:rFonts w:hint="eastAsia" w:ascii="宋体" w:eastAsia="宋体" w:cs="宋体"/>
          <w:b/>
          <w:bCs/>
          <w:kern w:val="0"/>
          <w:sz w:val="24"/>
          <w:szCs w:val="24"/>
        </w:rPr>
        <w:t>货款的结算</w:t>
      </w:r>
    </w:p>
    <w:p>
      <w:pPr>
        <w:autoSpaceDE w:val="0"/>
        <w:autoSpaceDN w:val="0"/>
        <w:adjustRightInd w:val="0"/>
        <w:spacing w:line="360" w:lineRule="auto"/>
        <w:ind w:firstLine="480" w:firstLineChars="200"/>
        <w:jc w:val="left"/>
        <w:rPr>
          <w:rFonts w:hint="eastAsia" w:ascii="宋体" w:eastAsia="宋体" w:cs="宋体"/>
          <w:kern w:val="0"/>
          <w:sz w:val="24"/>
          <w:szCs w:val="24"/>
        </w:rPr>
      </w:pPr>
      <w:r>
        <w:rPr>
          <w:rFonts w:hint="eastAsia" w:ascii="宋体" w:eastAsia="宋体" w:cs="宋体"/>
          <w:kern w:val="0"/>
          <w:sz w:val="24"/>
          <w:szCs w:val="24"/>
        </w:rPr>
        <w:t>具体结算方式：</w:t>
      </w:r>
    </w:p>
    <w:p>
      <w:pPr>
        <w:autoSpaceDE w:val="0"/>
        <w:autoSpaceDN w:val="0"/>
        <w:adjustRightInd w:val="0"/>
        <w:spacing w:line="360" w:lineRule="auto"/>
        <w:ind w:firstLine="480" w:firstLineChars="200"/>
        <w:jc w:val="left"/>
        <w:rPr>
          <w:rFonts w:hint="eastAsia" w:ascii="宋体" w:eastAsia="宋体" w:cs="宋体"/>
          <w:kern w:val="0"/>
          <w:sz w:val="24"/>
          <w:szCs w:val="24"/>
        </w:rPr>
      </w:pPr>
      <w:r>
        <w:rPr>
          <w:rFonts w:hint="eastAsia" w:ascii="宋体" w:eastAsia="宋体" w:cs="宋体"/>
          <w:kern w:val="0"/>
          <w:sz w:val="24"/>
          <w:szCs w:val="24"/>
          <w:lang w:eastAsia="zh-CN"/>
        </w:rPr>
        <w:t>（</w:t>
      </w:r>
      <w:r>
        <w:rPr>
          <w:rFonts w:hint="eastAsia" w:ascii="宋体" w:eastAsia="宋体" w:cs="宋体"/>
          <w:kern w:val="0"/>
          <w:sz w:val="24"/>
          <w:szCs w:val="24"/>
          <w:lang w:val="en-US" w:eastAsia="zh-CN"/>
        </w:rPr>
        <w:t>一</w:t>
      </w:r>
      <w:r>
        <w:rPr>
          <w:rFonts w:hint="eastAsia" w:ascii="宋体" w:eastAsia="宋体" w:cs="宋体"/>
          <w:kern w:val="0"/>
          <w:sz w:val="24"/>
          <w:szCs w:val="24"/>
          <w:lang w:eastAsia="zh-CN"/>
        </w:rPr>
        <w:t>）</w:t>
      </w:r>
      <w:r>
        <w:rPr>
          <w:rFonts w:hint="eastAsia" w:ascii="宋体" w:eastAsia="宋体" w:cs="宋体"/>
          <w:kern w:val="0"/>
          <w:sz w:val="24"/>
          <w:szCs w:val="24"/>
        </w:rPr>
        <w:t>首付款：项目合同签订生效且</w:t>
      </w:r>
      <w:r>
        <w:rPr>
          <w:rFonts w:hint="eastAsia" w:ascii="宋体" w:eastAsia="宋体" w:cs="宋体"/>
          <w:kern w:val="0"/>
          <w:sz w:val="24"/>
          <w:szCs w:val="24"/>
          <w:lang w:val="en-US" w:eastAsia="zh-CN"/>
        </w:rPr>
        <w:t>乙方</w:t>
      </w:r>
      <w:r>
        <w:rPr>
          <w:rFonts w:hint="eastAsia" w:ascii="宋体" w:eastAsia="宋体" w:cs="宋体"/>
          <w:kern w:val="0"/>
          <w:sz w:val="24"/>
          <w:szCs w:val="24"/>
        </w:rPr>
        <w:t>向</w:t>
      </w:r>
      <w:r>
        <w:rPr>
          <w:rFonts w:hint="eastAsia" w:ascii="宋体" w:eastAsia="宋体" w:cs="宋体"/>
          <w:kern w:val="0"/>
          <w:sz w:val="24"/>
          <w:szCs w:val="24"/>
          <w:lang w:val="en-US" w:eastAsia="zh-CN"/>
        </w:rPr>
        <w:t>甲方</w:t>
      </w:r>
      <w:r>
        <w:rPr>
          <w:rFonts w:hint="eastAsia" w:ascii="宋体" w:eastAsia="宋体" w:cs="宋体"/>
          <w:kern w:val="0"/>
          <w:sz w:val="24"/>
          <w:szCs w:val="24"/>
        </w:rPr>
        <w:t>提供符</w:t>
      </w:r>
      <w:r>
        <w:rPr>
          <w:rFonts w:hint="eastAsia" w:ascii="宋体" w:eastAsia="宋体" w:cs="宋体"/>
          <w:kern w:val="0"/>
          <w:sz w:val="24"/>
          <w:szCs w:val="24"/>
          <w:lang w:val="en-US" w:eastAsia="zh-CN"/>
        </w:rPr>
        <w:t>合</w:t>
      </w:r>
      <w:r>
        <w:rPr>
          <w:rFonts w:hint="eastAsia" w:ascii="宋体" w:eastAsia="宋体" w:cs="宋体"/>
          <w:kern w:val="0"/>
          <w:sz w:val="24"/>
          <w:szCs w:val="24"/>
        </w:rPr>
        <w:t>国家财务规定的</w:t>
      </w:r>
      <w:r>
        <w:rPr>
          <w:rFonts w:hint="eastAsia" w:ascii="宋体" w:eastAsia="宋体" w:cs="宋体"/>
          <w:kern w:val="0"/>
          <w:sz w:val="24"/>
          <w:szCs w:val="24"/>
          <w:lang w:val="en-US" w:eastAsia="zh-CN"/>
        </w:rPr>
        <w:t>增值税专用</w:t>
      </w:r>
      <w:r>
        <w:rPr>
          <w:rFonts w:hint="eastAsia" w:ascii="宋体" w:eastAsia="宋体" w:cs="宋体"/>
          <w:kern w:val="0"/>
          <w:sz w:val="24"/>
          <w:szCs w:val="24"/>
        </w:rPr>
        <w:t>发票后，甲方办理付款手续。甲方收到政府拨付资金后的15个工作日内，</w:t>
      </w:r>
      <w:r>
        <w:rPr>
          <w:rFonts w:hint="eastAsia" w:ascii="宋体" w:eastAsia="宋体" w:cs="宋体"/>
          <w:kern w:val="0"/>
          <w:sz w:val="24"/>
          <w:szCs w:val="24"/>
          <w:lang w:val="en-US" w:eastAsia="zh-CN"/>
        </w:rPr>
        <w:t>视资金到位情况</w:t>
      </w:r>
      <w:r>
        <w:rPr>
          <w:rFonts w:hint="eastAsia" w:ascii="宋体" w:eastAsia="宋体" w:cs="宋体"/>
          <w:kern w:val="0"/>
          <w:sz w:val="24"/>
          <w:szCs w:val="24"/>
        </w:rPr>
        <w:t>支付不高于本项目总额30%作为首期款</w:t>
      </w:r>
      <w:r>
        <w:rPr>
          <w:rFonts w:hint="eastAsia" w:ascii="宋体" w:eastAsia="宋体" w:cs="宋体"/>
          <w:kern w:val="0"/>
          <w:sz w:val="24"/>
          <w:szCs w:val="24"/>
          <w:lang w:eastAsia="zh-CN"/>
        </w:rPr>
        <w:t>。</w:t>
      </w:r>
    </w:p>
    <w:p>
      <w:pPr>
        <w:autoSpaceDE w:val="0"/>
        <w:autoSpaceDN w:val="0"/>
        <w:adjustRightInd w:val="0"/>
        <w:spacing w:line="360" w:lineRule="auto"/>
        <w:ind w:firstLine="480" w:firstLineChars="200"/>
        <w:jc w:val="left"/>
        <w:rPr>
          <w:rFonts w:hint="eastAsia" w:ascii="宋体" w:eastAsia="宋体" w:cs="宋体"/>
          <w:kern w:val="0"/>
          <w:sz w:val="24"/>
          <w:szCs w:val="24"/>
        </w:rPr>
      </w:pPr>
      <w:r>
        <w:rPr>
          <w:rFonts w:hint="eastAsia" w:ascii="宋体" w:eastAsia="宋体" w:cs="宋体"/>
          <w:kern w:val="0"/>
          <w:sz w:val="24"/>
          <w:szCs w:val="24"/>
          <w:lang w:eastAsia="zh-CN"/>
        </w:rPr>
        <w:t>（</w:t>
      </w:r>
      <w:r>
        <w:rPr>
          <w:rFonts w:hint="eastAsia" w:ascii="宋体" w:eastAsia="宋体" w:cs="宋体"/>
          <w:kern w:val="0"/>
          <w:sz w:val="24"/>
          <w:szCs w:val="24"/>
          <w:lang w:val="en-US" w:eastAsia="zh-CN"/>
        </w:rPr>
        <w:t>二</w:t>
      </w:r>
      <w:r>
        <w:rPr>
          <w:rFonts w:hint="eastAsia" w:ascii="宋体" w:eastAsia="宋体" w:cs="宋体"/>
          <w:kern w:val="0"/>
          <w:sz w:val="24"/>
          <w:szCs w:val="24"/>
          <w:lang w:eastAsia="zh-CN"/>
        </w:rPr>
        <w:t>）</w:t>
      </w:r>
      <w:r>
        <w:rPr>
          <w:rFonts w:hint="eastAsia" w:ascii="宋体" w:eastAsia="宋体" w:cs="宋体"/>
          <w:kern w:val="0"/>
          <w:sz w:val="24"/>
          <w:szCs w:val="24"/>
        </w:rPr>
        <w:t>进度款：经</w:t>
      </w:r>
      <w:r>
        <w:rPr>
          <w:rFonts w:hint="eastAsia" w:ascii="宋体" w:eastAsia="宋体" w:cs="宋体"/>
          <w:kern w:val="0"/>
          <w:sz w:val="24"/>
          <w:szCs w:val="24"/>
          <w:lang w:val="en-US" w:eastAsia="zh-CN"/>
        </w:rPr>
        <w:t>甲方</w:t>
      </w:r>
      <w:r>
        <w:rPr>
          <w:rFonts w:hint="eastAsia" w:ascii="宋体" w:eastAsia="宋体" w:cs="宋体"/>
          <w:kern w:val="0"/>
          <w:sz w:val="24"/>
          <w:szCs w:val="24"/>
        </w:rPr>
        <w:t>确认项目实际进度，</w:t>
      </w:r>
      <w:r>
        <w:rPr>
          <w:rFonts w:hint="eastAsia" w:ascii="宋体" w:eastAsia="宋体" w:cs="宋体"/>
          <w:kern w:val="0"/>
          <w:sz w:val="24"/>
          <w:szCs w:val="24"/>
          <w:lang w:val="en-US" w:eastAsia="zh-CN"/>
        </w:rPr>
        <w:t>乙方</w:t>
      </w:r>
      <w:r>
        <w:rPr>
          <w:rFonts w:hint="eastAsia" w:ascii="宋体" w:eastAsia="宋体" w:cs="宋体"/>
          <w:kern w:val="0"/>
          <w:sz w:val="24"/>
          <w:szCs w:val="24"/>
        </w:rPr>
        <w:t>可向</w:t>
      </w:r>
      <w:r>
        <w:rPr>
          <w:rFonts w:hint="eastAsia" w:ascii="宋体" w:eastAsia="宋体" w:cs="宋体"/>
          <w:kern w:val="0"/>
          <w:sz w:val="24"/>
          <w:szCs w:val="24"/>
          <w:lang w:val="en-US" w:eastAsia="zh-CN"/>
        </w:rPr>
        <w:t>甲方</w:t>
      </w:r>
      <w:r>
        <w:rPr>
          <w:rFonts w:hint="eastAsia" w:ascii="宋体" w:eastAsia="宋体" w:cs="宋体"/>
          <w:kern w:val="0"/>
          <w:sz w:val="24"/>
          <w:szCs w:val="24"/>
        </w:rPr>
        <w:t>提供符合国家财务规定的</w:t>
      </w:r>
      <w:r>
        <w:rPr>
          <w:rFonts w:hint="eastAsia" w:ascii="宋体" w:eastAsia="宋体" w:cs="宋体"/>
          <w:kern w:val="0"/>
          <w:sz w:val="24"/>
          <w:szCs w:val="24"/>
          <w:lang w:val="en-US" w:eastAsia="zh-CN"/>
        </w:rPr>
        <w:t>增值税专用</w:t>
      </w:r>
      <w:r>
        <w:rPr>
          <w:rFonts w:hint="eastAsia" w:ascii="宋体" w:eastAsia="宋体" w:cs="宋体"/>
          <w:kern w:val="0"/>
          <w:sz w:val="24"/>
          <w:szCs w:val="24"/>
        </w:rPr>
        <w:t>发票和申请付款手续。</w:t>
      </w:r>
      <w:r>
        <w:rPr>
          <w:rFonts w:hint="eastAsia" w:ascii="宋体" w:eastAsia="宋体" w:cs="宋体"/>
          <w:kern w:val="0"/>
          <w:sz w:val="24"/>
          <w:szCs w:val="24"/>
          <w:lang w:val="en-US" w:eastAsia="zh-CN"/>
        </w:rPr>
        <w:t>甲方</w:t>
      </w:r>
      <w:r>
        <w:rPr>
          <w:rFonts w:hint="eastAsia" w:ascii="宋体" w:eastAsia="宋体" w:cs="宋体"/>
          <w:kern w:val="0"/>
          <w:sz w:val="24"/>
          <w:szCs w:val="24"/>
        </w:rPr>
        <w:t>收到政府拨付资金后的15个工作日内，视实际资金到位情况，向</w:t>
      </w:r>
      <w:r>
        <w:rPr>
          <w:rFonts w:hint="eastAsia" w:ascii="宋体" w:eastAsia="宋体" w:cs="宋体"/>
          <w:kern w:val="0"/>
          <w:sz w:val="24"/>
          <w:szCs w:val="24"/>
          <w:lang w:val="en-US" w:eastAsia="zh-CN"/>
        </w:rPr>
        <w:t>乙方</w:t>
      </w:r>
      <w:r>
        <w:rPr>
          <w:rFonts w:hint="eastAsia" w:ascii="宋体" w:eastAsia="宋体" w:cs="宋体"/>
          <w:kern w:val="0"/>
          <w:sz w:val="24"/>
          <w:szCs w:val="24"/>
        </w:rPr>
        <w:t>支付项目进度款，但整体支付比例不高于项目合同总金额的90%；</w:t>
      </w:r>
    </w:p>
    <w:p>
      <w:pPr>
        <w:autoSpaceDE w:val="0"/>
        <w:autoSpaceDN w:val="0"/>
        <w:adjustRightInd w:val="0"/>
        <w:spacing w:line="360" w:lineRule="auto"/>
        <w:ind w:firstLine="480" w:firstLineChars="200"/>
        <w:jc w:val="left"/>
        <w:rPr>
          <w:rFonts w:hint="eastAsia" w:ascii="宋体" w:eastAsia="宋体" w:cs="宋体"/>
          <w:kern w:val="0"/>
          <w:sz w:val="24"/>
          <w:szCs w:val="24"/>
        </w:rPr>
      </w:pPr>
      <w:r>
        <w:rPr>
          <w:rFonts w:hint="eastAsia" w:ascii="宋体" w:eastAsia="宋体" w:cs="宋体"/>
          <w:kern w:val="0"/>
          <w:sz w:val="24"/>
          <w:szCs w:val="24"/>
          <w:lang w:eastAsia="zh-CN"/>
        </w:rPr>
        <w:t>（</w:t>
      </w:r>
      <w:r>
        <w:rPr>
          <w:rFonts w:hint="eastAsia" w:ascii="宋体" w:eastAsia="宋体" w:cs="宋体"/>
          <w:kern w:val="0"/>
          <w:sz w:val="24"/>
          <w:szCs w:val="24"/>
          <w:lang w:val="en-US" w:eastAsia="zh-CN"/>
        </w:rPr>
        <w:t>三</w:t>
      </w:r>
      <w:r>
        <w:rPr>
          <w:rFonts w:hint="eastAsia" w:ascii="宋体" w:eastAsia="宋体" w:cs="宋体"/>
          <w:kern w:val="0"/>
          <w:sz w:val="24"/>
          <w:szCs w:val="24"/>
          <w:lang w:eastAsia="zh-CN"/>
        </w:rPr>
        <w:t>）</w:t>
      </w:r>
      <w:r>
        <w:rPr>
          <w:rFonts w:hint="eastAsia" w:ascii="宋体" w:eastAsia="宋体" w:cs="宋体"/>
          <w:kern w:val="0"/>
          <w:sz w:val="24"/>
          <w:szCs w:val="24"/>
        </w:rPr>
        <w:t>尾款：项目服务期期满且终验合格，</w:t>
      </w:r>
      <w:r>
        <w:rPr>
          <w:rFonts w:hint="eastAsia" w:ascii="宋体" w:eastAsia="宋体" w:cs="宋体"/>
          <w:kern w:val="0"/>
          <w:sz w:val="24"/>
          <w:szCs w:val="24"/>
          <w:lang w:val="en-US" w:eastAsia="zh-CN"/>
        </w:rPr>
        <w:t>乙方</w:t>
      </w:r>
      <w:r>
        <w:rPr>
          <w:rFonts w:hint="eastAsia" w:ascii="宋体" w:eastAsia="宋体" w:cs="宋体"/>
          <w:kern w:val="0"/>
          <w:sz w:val="24"/>
          <w:szCs w:val="24"/>
        </w:rPr>
        <w:t>向</w:t>
      </w:r>
      <w:r>
        <w:rPr>
          <w:rFonts w:hint="eastAsia" w:ascii="宋体" w:eastAsia="宋体" w:cs="宋体"/>
          <w:kern w:val="0"/>
          <w:sz w:val="24"/>
          <w:szCs w:val="24"/>
          <w:lang w:val="en-US" w:eastAsia="zh-CN"/>
        </w:rPr>
        <w:t>甲方</w:t>
      </w:r>
      <w:r>
        <w:rPr>
          <w:rFonts w:hint="eastAsia" w:ascii="宋体" w:eastAsia="宋体" w:cs="宋体"/>
          <w:kern w:val="0"/>
          <w:sz w:val="24"/>
          <w:szCs w:val="24"/>
        </w:rPr>
        <w:t>提供符合国家财务规定的</w:t>
      </w:r>
      <w:r>
        <w:rPr>
          <w:rFonts w:hint="eastAsia" w:ascii="宋体" w:eastAsia="宋体" w:cs="宋体"/>
          <w:kern w:val="0"/>
          <w:sz w:val="24"/>
          <w:szCs w:val="24"/>
          <w:lang w:val="en-US" w:eastAsia="zh-CN"/>
        </w:rPr>
        <w:t>增值税专用</w:t>
      </w:r>
      <w:r>
        <w:rPr>
          <w:rFonts w:hint="eastAsia" w:ascii="宋体" w:eastAsia="宋体" w:cs="宋体"/>
          <w:kern w:val="0"/>
          <w:sz w:val="24"/>
          <w:szCs w:val="24"/>
        </w:rPr>
        <w:t>发票后，</w:t>
      </w:r>
      <w:r>
        <w:rPr>
          <w:rFonts w:hint="eastAsia" w:ascii="宋体" w:eastAsia="宋体" w:cs="宋体"/>
          <w:kern w:val="0"/>
          <w:sz w:val="24"/>
          <w:szCs w:val="24"/>
          <w:lang w:val="en-US" w:eastAsia="zh-CN"/>
        </w:rPr>
        <w:t>甲方</w:t>
      </w:r>
      <w:r>
        <w:rPr>
          <w:rFonts w:hint="eastAsia" w:ascii="宋体" w:eastAsia="宋体" w:cs="宋体"/>
          <w:kern w:val="0"/>
          <w:sz w:val="24"/>
          <w:szCs w:val="24"/>
        </w:rPr>
        <w:t>办理申请付款手续。</w:t>
      </w:r>
      <w:r>
        <w:rPr>
          <w:rFonts w:hint="eastAsia" w:ascii="宋体" w:eastAsia="宋体" w:cs="宋体"/>
          <w:kern w:val="0"/>
          <w:sz w:val="24"/>
          <w:szCs w:val="24"/>
          <w:lang w:val="en-US" w:eastAsia="zh-CN"/>
        </w:rPr>
        <w:t>甲方</w:t>
      </w:r>
      <w:r>
        <w:rPr>
          <w:rFonts w:hint="eastAsia" w:ascii="宋体" w:eastAsia="宋体" w:cs="宋体"/>
          <w:kern w:val="0"/>
          <w:sz w:val="24"/>
          <w:szCs w:val="24"/>
        </w:rPr>
        <w:t>收到政府拨付资金后的15个工</w:t>
      </w:r>
      <w:r>
        <w:rPr>
          <w:rFonts w:hint="eastAsia" w:ascii="宋体" w:eastAsia="宋体" w:cs="宋体"/>
          <w:kern w:val="0"/>
          <w:sz w:val="24"/>
          <w:szCs w:val="24"/>
          <w:lang w:val="en-US" w:eastAsia="zh-CN"/>
        </w:rPr>
        <w:t>作</w:t>
      </w:r>
      <w:r>
        <w:rPr>
          <w:rFonts w:hint="eastAsia" w:ascii="宋体" w:eastAsia="宋体" w:cs="宋体"/>
          <w:kern w:val="0"/>
          <w:sz w:val="24"/>
          <w:szCs w:val="24"/>
        </w:rPr>
        <w:t>日内，</w:t>
      </w:r>
      <w:r>
        <w:rPr>
          <w:rFonts w:hint="eastAsia" w:ascii="宋体" w:eastAsia="宋体" w:cs="宋体"/>
          <w:kern w:val="0"/>
          <w:sz w:val="24"/>
          <w:szCs w:val="24"/>
          <w:lang w:val="en-US" w:eastAsia="zh-CN"/>
        </w:rPr>
        <w:t>视资金到位情况</w:t>
      </w:r>
      <w:r>
        <w:rPr>
          <w:rFonts w:hint="eastAsia" w:ascii="宋体" w:eastAsia="宋体" w:cs="宋体"/>
          <w:kern w:val="0"/>
          <w:sz w:val="24"/>
          <w:szCs w:val="24"/>
        </w:rPr>
        <w:t>将项目合同总金额的余下款项支付给</w:t>
      </w:r>
      <w:r>
        <w:rPr>
          <w:rFonts w:hint="eastAsia" w:ascii="宋体" w:eastAsia="宋体" w:cs="宋体"/>
          <w:kern w:val="0"/>
          <w:sz w:val="24"/>
          <w:szCs w:val="24"/>
          <w:lang w:val="en-US" w:eastAsia="zh-CN"/>
        </w:rPr>
        <w:t>乙方</w:t>
      </w:r>
      <w:r>
        <w:rPr>
          <w:rFonts w:hint="eastAsia" w:ascii="宋体" w:eastAsia="宋体" w:cs="宋体"/>
          <w:kern w:val="0"/>
          <w:sz w:val="24"/>
          <w:szCs w:val="24"/>
        </w:rPr>
        <w:t>。</w:t>
      </w:r>
    </w:p>
    <w:p>
      <w:pPr>
        <w:autoSpaceDE w:val="0"/>
        <w:autoSpaceDN w:val="0"/>
        <w:adjustRightInd w:val="0"/>
        <w:spacing w:line="360" w:lineRule="auto"/>
        <w:ind w:firstLine="480" w:firstLineChars="200"/>
        <w:jc w:val="left"/>
        <w:rPr>
          <w:rFonts w:hint="eastAsia" w:ascii="宋体" w:eastAsia="宋体" w:cs="宋体"/>
          <w:kern w:val="0"/>
          <w:sz w:val="24"/>
          <w:szCs w:val="24"/>
        </w:rPr>
      </w:pPr>
      <w:r>
        <w:rPr>
          <w:rFonts w:hint="eastAsia" w:ascii="宋体" w:eastAsia="宋体" w:cs="宋体"/>
          <w:kern w:val="0"/>
          <w:sz w:val="24"/>
          <w:szCs w:val="24"/>
        </w:rPr>
        <w:t>（四）甲方在前款规定的时间内向相关部门提出办理支付申请手续的，即视为甲方已经按期支付。</w:t>
      </w:r>
    </w:p>
    <w:p>
      <w:pPr>
        <w:autoSpaceDE w:val="0"/>
        <w:autoSpaceDN w:val="0"/>
        <w:adjustRightInd w:val="0"/>
        <w:spacing w:line="360" w:lineRule="auto"/>
        <w:ind w:firstLine="480" w:firstLineChars="200"/>
        <w:jc w:val="left"/>
        <w:rPr>
          <w:rFonts w:hint="eastAsia" w:ascii="宋体" w:eastAsia="宋体" w:cs="宋体"/>
          <w:kern w:val="0"/>
          <w:sz w:val="24"/>
          <w:szCs w:val="24"/>
        </w:rPr>
      </w:pPr>
      <w:r>
        <w:rPr>
          <w:rFonts w:hint="eastAsia" w:ascii="宋体" w:eastAsia="宋体" w:cs="宋体"/>
          <w:kern w:val="0"/>
          <w:sz w:val="24"/>
          <w:szCs w:val="24"/>
        </w:rPr>
        <w:t>（五）乙方未按约定提供发票的，甲方有权拒绝付款且不承担违约责任。</w:t>
      </w:r>
    </w:p>
    <w:p>
      <w:pPr>
        <w:autoSpaceDE w:val="0"/>
        <w:autoSpaceDN w:val="0"/>
        <w:adjustRightInd w:val="0"/>
        <w:spacing w:line="360" w:lineRule="auto"/>
        <w:ind w:firstLine="480" w:firstLineChars="200"/>
        <w:jc w:val="left"/>
        <w:rPr>
          <w:rFonts w:hint="eastAsia" w:ascii="宋体" w:eastAsia="宋体" w:cs="宋体"/>
          <w:kern w:val="0"/>
          <w:sz w:val="24"/>
          <w:szCs w:val="24"/>
        </w:rPr>
      </w:pPr>
      <w:r>
        <w:rPr>
          <w:rFonts w:hint="eastAsia" w:ascii="宋体" w:eastAsia="宋体" w:cs="宋体"/>
          <w:kern w:val="0"/>
          <w:sz w:val="24"/>
          <w:szCs w:val="24"/>
        </w:rPr>
        <w:t>（六）乙方指定签字盖章栏中的银行账号为收款账号。</w:t>
      </w:r>
    </w:p>
    <w:p>
      <w:pPr>
        <w:autoSpaceDE w:val="0"/>
        <w:autoSpaceDN w:val="0"/>
        <w:adjustRightInd w:val="0"/>
        <w:spacing w:line="360" w:lineRule="auto"/>
        <w:ind w:firstLine="482" w:firstLineChars="200"/>
        <w:jc w:val="left"/>
        <w:rPr>
          <w:rFonts w:ascii="宋体" w:eastAsia="宋体" w:cs="宋体"/>
          <w:b/>
          <w:bCs/>
          <w:kern w:val="0"/>
          <w:sz w:val="24"/>
          <w:szCs w:val="24"/>
        </w:rPr>
      </w:pPr>
      <w:r>
        <w:rPr>
          <w:rFonts w:hint="eastAsia" w:ascii="宋体" w:eastAsia="宋体" w:cs="宋体"/>
          <w:b/>
          <w:bCs/>
          <w:kern w:val="0"/>
          <w:sz w:val="24"/>
          <w:szCs w:val="24"/>
        </w:rPr>
        <w:t xml:space="preserve">第五条 </w:t>
      </w:r>
      <w:r>
        <w:rPr>
          <w:rFonts w:ascii="宋体" w:eastAsia="宋体" w:cs="宋体"/>
          <w:b/>
          <w:bCs/>
          <w:kern w:val="0"/>
          <w:sz w:val="24"/>
          <w:szCs w:val="24"/>
        </w:rPr>
        <w:t xml:space="preserve"> </w:t>
      </w:r>
      <w:r>
        <w:rPr>
          <w:rFonts w:hint="eastAsia" w:ascii="宋体" w:eastAsia="宋体" w:cs="宋体"/>
          <w:b/>
          <w:bCs/>
          <w:kern w:val="0"/>
          <w:sz w:val="24"/>
          <w:szCs w:val="24"/>
        </w:rPr>
        <w:t>验收方式</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（一）验收时间：完成全部服务后进行项目验收。</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（二）验收方法：甲方派遣有经验有能力的人员检验产品和工程、服务的质量和指标。</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（三）验收标准：按国家、广东省相关政策与最新技术标准与技术规范进行验收；符合</w:t>
      </w:r>
      <w:r>
        <w:rPr>
          <w:rFonts w:hint="eastAsia" w:ascii="宋体" w:eastAsia="宋体" w:cs="宋体"/>
          <w:kern w:val="0"/>
          <w:sz w:val="24"/>
          <w:szCs w:val="24"/>
          <w:lang w:eastAsia="zh-CN"/>
        </w:rPr>
        <w:t>采购</w:t>
      </w:r>
      <w:r>
        <w:rPr>
          <w:rFonts w:hint="eastAsia" w:ascii="宋体" w:eastAsia="宋体" w:cs="宋体"/>
          <w:kern w:val="0"/>
          <w:sz w:val="24"/>
          <w:szCs w:val="24"/>
        </w:rPr>
        <w:t>文件、乙方的</w:t>
      </w:r>
      <w:r>
        <w:rPr>
          <w:rFonts w:hint="eastAsia" w:ascii="宋体" w:eastAsia="宋体" w:cs="宋体"/>
          <w:kern w:val="0"/>
          <w:sz w:val="24"/>
          <w:szCs w:val="24"/>
          <w:lang w:eastAsia="zh-CN"/>
        </w:rPr>
        <w:t>采购</w:t>
      </w:r>
      <w:r>
        <w:rPr>
          <w:rFonts w:hint="eastAsia" w:ascii="宋体" w:eastAsia="宋体" w:cs="宋体"/>
          <w:kern w:val="0"/>
          <w:sz w:val="24"/>
          <w:szCs w:val="24"/>
        </w:rPr>
        <w:t>文件、澄清、说明或者补正文件和中标通知书的要求；单证齐全，有产品合格证（或质量保证书）、发票和其它应当具有单证文件。</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（四）服务成果包括但不限于：运维月报、故障处理报告（如没发生故障则不需提供）、季度服务报告等。</w:t>
      </w:r>
    </w:p>
    <w:p>
      <w:pPr>
        <w:autoSpaceDE w:val="0"/>
        <w:autoSpaceDN w:val="0"/>
        <w:adjustRightInd w:val="0"/>
        <w:spacing w:line="360" w:lineRule="auto"/>
        <w:ind w:firstLine="482" w:firstLineChars="200"/>
        <w:jc w:val="left"/>
        <w:rPr>
          <w:rFonts w:ascii="宋体" w:eastAsia="宋体" w:cs="宋体"/>
          <w:b/>
          <w:bCs/>
          <w:kern w:val="0"/>
          <w:sz w:val="24"/>
          <w:szCs w:val="24"/>
        </w:rPr>
      </w:pPr>
      <w:r>
        <w:rPr>
          <w:rFonts w:hint="eastAsia" w:ascii="宋体" w:eastAsia="宋体" w:cs="宋体"/>
          <w:b/>
          <w:bCs/>
          <w:kern w:val="0"/>
          <w:sz w:val="24"/>
          <w:szCs w:val="24"/>
        </w:rPr>
        <w:t>第六条 对服务异议的时间和办法</w:t>
      </w:r>
    </w:p>
    <w:p>
      <w:pPr>
        <w:autoSpaceDE w:val="0"/>
        <w:autoSpaceDN w:val="0"/>
        <w:adjustRightInd w:val="0"/>
        <w:spacing w:line="360" w:lineRule="auto"/>
        <w:ind w:firstLine="480" w:firstLineChars="200"/>
        <w:jc w:val="left"/>
        <w:rPr>
          <w:rFonts w:hint="eastAsia" w:ascii="宋体" w:eastAsia="宋体" w:cs="宋体"/>
          <w:kern w:val="0"/>
          <w:sz w:val="24"/>
          <w:szCs w:val="24"/>
          <w:lang w:eastAsia="zh-CN"/>
        </w:rPr>
      </w:pPr>
      <w:r>
        <w:rPr>
          <w:rFonts w:hint="eastAsia" w:ascii="宋体" w:eastAsia="宋体" w:cs="宋体"/>
          <w:kern w:val="0"/>
          <w:sz w:val="24"/>
          <w:szCs w:val="24"/>
        </w:rPr>
        <w:t>（一）甲方如果发现服务不合规定的，应在三十</w:t>
      </w:r>
      <w:r>
        <w:rPr>
          <w:rFonts w:hint="eastAsia" w:ascii="宋体" w:eastAsia="宋体" w:cs="宋体"/>
          <w:kern w:val="0"/>
          <w:sz w:val="24"/>
          <w:szCs w:val="24"/>
          <w:lang w:val="en-US" w:eastAsia="zh-CN"/>
        </w:rPr>
        <w:t>个日历日</w:t>
      </w:r>
      <w:r>
        <w:rPr>
          <w:rFonts w:hint="eastAsia" w:ascii="宋体" w:eastAsia="宋体" w:cs="宋体"/>
          <w:kern w:val="0"/>
          <w:sz w:val="24"/>
          <w:szCs w:val="24"/>
        </w:rPr>
        <w:t>内向乙方提出书面异议</w:t>
      </w:r>
      <w:r>
        <w:rPr>
          <w:rFonts w:hint="eastAsia" w:ascii="宋体" w:eastAsia="宋体" w:cs="宋体"/>
          <w:kern w:val="0"/>
          <w:sz w:val="24"/>
          <w:szCs w:val="24"/>
          <w:lang w:eastAsia="zh-CN"/>
        </w:rPr>
        <w:t>。</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（二）乙方在接到甲方书面异议后，应在十</w:t>
      </w:r>
      <w:r>
        <w:rPr>
          <w:rFonts w:hint="eastAsia" w:ascii="宋体" w:eastAsia="宋体" w:cs="宋体"/>
          <w:kern w:val="0"/>
          <w:sz w:val="24"/>
          <w:szCs w:val="24"/>
          <w:lang w:val="en-US" w:eastAsia="zh-CN"/>
        </w:rPr>
        <w:t>个日历日</w:t>
      </w:r>
      <w:r>
        <w:rPr>
          <w:rFonts w:hint="eastAsia" w:ascii="宋体" w:eastAsia="宋体" w:cs="宋体"/>
          <w:kern w:val="0"/>
          <w:sz w:val="24"/>
          <w:szCs w:val="24"/>
        </w:rPr>
        <w:t>内处理。</w:t>
      </w:r>
    </w:p>
    <w:p>
      <w:pPr>
        <w:autoSpaceDE w:val="0"/>
        <w:autoSpaceDN w:val="0"/>
        <w:adjustRightInd w:val="0"/>
        <w:spacing w:line="360" w:lineRule="auto"/>
        <w:ind w:firstLine="482" w:firstLineChars="200"/>
        <w:jc w:val="left"/>
        <w:rPr>
          <w:rFonts w:ascii="宋体" w:eastAsia="宋体" w:cs="宋体"/>
          <w:b/>
          <w:bCs/>
          <w:kern w:val="0"/>
          <w:sz w:val="24"/>
          <w:szCs w:val="24"/>
        </w:rPr>
      </w:pPr>
      <w:r>
        <w:rPr>
          <w:rFonts w:hint="eastAsia" w:ascii="宋体" w:eastAsia="宋体" w:cs="宋体"/>
          <w:b/>
          <w:bCs/>
          <w:kern w:val="0"/>
          <w:sz w:val="24"/>
          <w:szCs w:val="24"/>
        </w:rPr>
        <w:t>第七条 乙方的违约责任</w:t>
      </w:r>
    </w:p>
    <w:p>
      <w:pPr>
        <w:autoSpaceDE w:val="0"/>
        <w:autoSpaceDN w:val="0"/>
        <w:adjustRightInd w:val="0"/>
        <w:spacing w:line="360" w:lineRule="auto"/>
        <w:ind w:firstLine="480" w:firstLineChars="200"/>
        <w:jc w:val="left"/>
        <w:rPr>
          <w:rFonts w:hint="eastAsia" w:ascii="宋体" w:eastAsia="宋体" w:cs="宋体"/>
          <w:kern w:val="0"/>
          <w:sz w:val="24"/>
          <w:szCs w:val="24"/>
          <w:lang w:eastAsia="zh-CN"/>
        </w:rPr>
      </w:pPr>
      <w:r>
        <w:rPr>
          <w:rFonts w:hint="eastAsia" w:ascii="宋体" w:eastAsia="宋体" w:cs="宋体"/>
          <w:kern w:val="0"/>
          <w:sz w:val="24"/>
          <w:szCs w:val="24"/>
        </w:rPr>
        <w:t>（一）乙方不能提供服务的，甲方不向乙方付款。乙方应向甲方偿付合同总价的百分之</w:t>
      </w:r>
      <w:r>
        <w:rPr>
          <w:rFonts w:hint="eastAsia" w:ascii="宋体" w:eastAsia="宋体" w:cs="宋体"/>
          <w:kern w:val="0"/>
          <w:sz w:val="24"/>
          <w:szCs w:val="24"/>
          <w:u w:val="single"/>
        </w:rPr>
        <w:t>五</w:t>
      </w:r>
      <w:r>
        <w:rPr>
          <w:rFonts w:hint="eastAsia" w:ascii="宋体" w:eastAsia="宋体" w:cs="宋体"/>
          <w:kern w:val="0"/>
          <w:sz w:val="24"/>
          <w:szCs w:val="24"/>
        </w:rPr>
        <w:t>作为违约金</w:t>
      </w:r>
      <w:r>
        <w:rPr>
          <w:rFonts w:hint="eastAsia" w:ascii="宋体" w:eastAsia="宋体" w:cs="宋体"/>
          <w:kern w:val="0"/>
          <w:sz w:val="24"/>
          <w:szCs w:val="24"/>
          <w:lang w:eastAsia="zh-CN"/>
        </w:rPr>
        <w:t>；</w:t>
      </w:r>
      <w:r>
        <w:rPr>
          <w:rFonts w:hint="eastAsia" w:ascii="宋体" w:eastAsia="宋体" w:cs="宋体"/>
          <w:kern w:val="0"/>
          <w:sz w:val="24"/>
          <w:szCs w:val="24"/>
          <w:lang w:val="en-US" w:eastAsia="zh-CN"/>
        </w:rPr>
        <w:t>乙方应按甲方要求期限内进行整改，如无法整改或逾期整改的，甲方有权解除合同。</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（二）乙方所</w:t>
      </w:r>
      <w:r>
        <w:rPr>
          <w:rFonts w:hint="eastAsia" w:ascii="宋体" w:eastAsia="宋体" w:cs="宋体"/>
          <w:kern w:val="0"/>
          <w:sz w:val="24"/>
          <w:szCs w:val="24"/>
          <w:lang w:val="en-US" w:eastAsia="zh-CN"/>
        </w:rPr>
        <w:t>提供</w:t>
      </w:r>
      <w:r>
        <w:rPr>
          <w:rFonts w:hint="eastAsia" w:ascii="宋体" w:eastAsia="宋体" w:cs="宋体"/>
          <w:kern w:val="0"/>
          <w:sz w:val="24"/>
          <w:szCs w:val="24"/>
        </w:rPr>
        <w:t>服务等不符合合同规定的向甲方偿付合同总价的百分之</w:t>
      </w:r>
      <w:r>
        <w:rPr>
          <w:rFonts w:hint="eastAsia" w:ascii="宋体" w:eastAsia="宋体" w:cs="宋体"/>
          <w:kern w:val="0"/>
          <w:sz w:val="24"/>
          <w:szCs w:val="24"/>
          <w:u w:val="single"/>
        </w:rPr>
        <w:t>五</w:t>
      </w:r>
      <w:r>
        <w:rPr>
          <w:rFonts w:hint="eastAsia" w:ascii="宋体" w:eastAsia="宋体" w:cs="宋体"/>
          <w:kern w:val="0"/>
          <w:sz w:val="24"/>
          <w:szCs w:val="24"/>
        </w:rPr>
        <w:t>作为违约金；乙方应按甲方要求期限内进行整改，如无法整改合格或逾期整改的，甲方有权解除合同。</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（三）乙方逾期提供服务的，每日应向甲方偿付合同总额的千分之</w:t>
      </w:r>
      <w:r>
        <w:rPr>
          <w:rFonts w:hint="eastAsia" w:ascii="宋体" w:eastAsia="宋体" w:cs="宋体"/>
          <w:kern w:val="0"/>
          <w:sz w:val="24"/>
          <w:szCs w:val="24"/>
          <w:u w:val="single"/>
        </w:rPr>
        <w:t>一</w:t>
      </w:r>
      <w:r>
        <w:rPr>
          <w:rFonts w:hint="eastAsia" w:ascii="宋体" w:eastAsia="宋体" w:cs="宋体"/>
          <w:kern w:val="0"/>
          <w:sz w:val="24"/>
          <w:szCs w:val="24"/>
        </w:rPr>
        <w:t>作为违约金，</w:t>
      </w:r>
      <w:r>
        <w:rPr>
          <w:rFonts w:hint="eastAsia" w:ascii="宋体" w:hAnsi="宋体"/>
          <w:sz w:val="24"/>
          <w:szCs w:val="24"/>
        </w:rPr>
        <w:t>但累计违约金不应超过合同总额的</w:t>
      </w:r>
      <w:r>
        <w:rPr>
          <w:rFonts w:hint="eastAsia" w:ascii="宋体" w:hAnsi="宋体"/>
          <w:sz w:val="24"/>
          <w:szCs w:val="24"/>
          <w:u w:val="single"/>
        </w:rPr>
        <w:t>10%</w:t>
      </w:r>
      <w:r>
        <w:rPr>
          <w:rFonts w:hint="eastAsia" w:ascii="宋体" w:eastAsia="宋体" w:cs="宋体"/>
          <w:kern w:val="0"/>
          <w:sz w:val="24"/>
          <w:szCs w:val="24"/>
        </w:rPr>
        <w:t>。逾期</w:t>
      </w:r>
      <w:r>
        <w:rPr>
          <w:rFonts w:hint="eastAsia" w:ascii="宋体" w:eastAsia="宋体" w:cs="宋体"/>
          <w:kern w:val="0"/>
          <w:sz w:val="24"/>
          <w:szCs w:val="24"/>
          <w:lang w:val="en-US" w:eastAsia="zh-CN"/>
        </w:rPr>
        <w:t>30个日历日</w:t>
      </w:r>
      <w:r>
        <w:rPr>
          <w:rFonts w:hint="eastAsia" w:ascii="宋体" w:eastAsia="宋体" w:cs="宋体"/>
          <w:kern w:val="0"/>
          <w:sz w:val="24"/>
          <w:szCs w:val="24"/>
        </w:rPr>
        <w:t>的，甲方有权解除本合同。</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（四）本合同无论因何原因解除、终止，乙方均应向甲方返还已收取但未履行及履行不符合约定部分的款项。</w:t>
      </w:r>
    </w:p>
    <w:p>
      <w:pPr>
        <w:autoSpaceDE w:val="0"/>
        <w:autoSpaceDN w:val="0"/>
        <w:adjustRightInd w:val="0"/>
        <w:spacing w:line="360" w:lineRule="auto"/>
        <w:ind w:firstLine="482" w:firstLineChars="200"/>
        <w:jc w:val="left"/>
        <w:rPr>
          <w:rFonts w:ascii="宋体" w:eastAsia="宋体" w:cs="宋体"/>
          <w:b/>
          <w:bCs/>
          <w:kern w:val="0"/>
          <w:sz w:val="24"/>
          <w:szCs w:val="24"/>
        </w:rPr>
      </w:pPr>
      <w:r>
        <w:rPr>
          <w:rFonts w:hint="eastAsia" w:ascii="宋体" w:eastAsia="宋体" w:cs="宋体"/>
          <w:b/>
          <w:bCs/>
          <w:kern w:val="0"/>
          <w:sz w:val="24"/>
          <w:szCs w:val="24"/>
        </w:rPr>
        <w:t xml:space="preserve">第八条 </w:t>
      </w:r>
      <w:r>
        <w:rPr>
          <w:rFonts w:ascii="宋体" w:eastAsia="宋体" w:cs="宋体"/>
          <w:b/>
          <w:bCs/>
          <w:kern w:val="0"/>
          <w:sz w:val="24"/>
          <w:szCs w:val="24"/>
        </w:rPr>
        <w:t xml:space="preserve"> </w:t>
      </w:r>
      <w:r>
        <w:rPr>
          <w:rFonts w:hint="eastAsia" w:ascii="宋体" w:eastAsia="宋体" w:cs="宋体"/>
          <w:b/>
          <w:bCs/>
          <w:kern w:val="0"/>
          <w:sz w:val="24"/>
          <w:szCs w:val="24"/>
        </w:rPr>
        <w:t>甲方的违约责任</w:t>
      </w:r>
    </w:p>
    <w:p>
      <w:pPr>
        <w:autoSpaceDE w:val="0"/>
        <w:autoSpaceDN w:val="0"/>
        <w:adjustRightInd w:val="0"/>
        <w:spacing w:line="360" w:lineRule="auto"/>
        <w:ind w:firstLine="480" w:firstLineChars="200"/>
        <w:jc w:val="left"/>
        <w:rPr>
          <w:rFonts w:hint="eastAsia" w:ascii="宋体" w:cs="宋体" w:eastAsiaTheme="minorEastAsia"/>
          <w:kern w:val="0"/>
          <w:sz w:val="24"/>
          <w:szCs w:val="24"/>
          <w:lang w:eastAsia="zh-CN"/>
        </w:rPr>
      </w:pPr>
      <w:r>
        <w:rPr>
          <w:rFonts w:hint="eastAsia" w:ascii="宋体" w:eastAsia="宋体" w:cs="宋体"/>
          <w:kern w:val="0"/>
          <w:sz w:val="24"/>
          <w:szCs w:val="24"/>
        </w:rPr>
        <w:t>（一）</w:t>
      </w:r>
      <w:r>
        <w:rPr>
          <w:rFonts w:hint="eastAsia" w:ascii="宋体" w:eastAsia="宋体" w:cs="宋体"/>
          <w:kern w:val="0"/>
          <w:sz w:val="24"/>
          <w:szCs w:val="24"/>
          <w:lang w:val="en-US" w:eastAsia="zh-CN"/>
        </w:rPr>
        <w:t>因甲方原因导致</w:t>
      </w:r>
      <w:r>
        <w:rPr>
          <w:rFonts w:hint="eastAsia" w:ascii="宋体" w:eastAsia="宋体" w:cs="宋体"/>
          <w:kern w:val="0"/>
          <w:sz w:val="24"/>
          <w:szCs w:val="24"/>
        </w:rPr>
        <w:t>逾期付款的，每日应向乙方偿付拖欠未付款总额的千分之</w:t>
      </w:r>
      <w:r>
        <w:rPr>
          <w:rFonts w:hint="eastAsia" w:ascii="宋体" w:eastAsia="宋体" w:cs="宋体"/>
          <w:kern w:val="0"/>
          <w:sz w:val="24"/>
          <w:szCs w:val="24"/>
          <w:u w:val="single"/>
        </w:rPr>
        <w:t>一</w:t>
      </w:r>
      <w:r>
        <w:rPr>
          <w:rFonts w:hint="eastAsia" w:ascii="宋体" w:eastAsia="宋体" w:cs="宋体"/>
          <w:kern w:val="0"/>
          <w:sz w:val="24"/>
          <w:szCs w:val="24"/>
        </w:rPr>
        <w:t>作为违约金</w:t>
      </w:r>
      <w:r>
        <w:rPr>
          <w:rFonts w:hint="eastAsia" w:ascii="宋体" w:hAnsi="宋体"/>
          <w:sz w:val="24"/>
          <w:szCs w:val="24"/>
        </w:rPr>
        <w:t>但累计违约金不应超过合同总额的</w:t>
      </w:r>
      <w:r>
        <w:rPr>
          <w:rFonts w:hint="eastAsia" w:ascii="宋体" w:hAnsi="宋体"/>
          <w:sz w:val="24"/>
          <w:szCs w:val="24"/>
          <w:u w:val="single"/>
        </w:rPr>
        <w:t>10%</w:t>
      </w:r>
      <w:r>
        <w:rPr>
          <w:rFonts w:hint="eastAsia" w:ascii="宋体" w:hAnsi="宋体"/>
          <w:sz w:val="24"/>
          <w:szCs w:val="24"/>
          <w:u w:val="single"/>
          <w:lang w:eastAsia="zh-CN"/>
        </w:rPr>
        <w:t>。</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（二）甲方违反合同规定拒绝接受服务的，应当承担由此而对乙方造成的直接实际损失。</w:t>
      </w:r>
    </w:p>
    <w:p>
      <w:pPr>
        <w:autoSpaceDE w:val="0"/>
        <w:autoSpaceDN w:val="0"/>
        <w:adjustRightInd w:val="0"/>
        <w:spacing w:line="360" w:lineRule="auto"/>
        <w:ind w:firstLine="482" w:firstLineChars="200"/>
        <w:jc w:val="left"/>
        <w:rPr>
          <w:rFonts w:ascii="宋体" w:eastAsia="宋体" w:cs="宋体"/>
          <w:b/>
          <w:bCs/>
          <w:kern w:val="0"/>
          <w:sz w:val="24"/>
          <w:szCs w:val="24"/>
        </w:rPr>
      </w:pPr>
      <w:r>
        <w:rPr>
          <w:rFonts w:hint="eastAsia" w:ascii="宋体" w:eastAsia="宋体" w:cs="宋体"/>
          <w:b/>
          <w:bCs/>
          <w:kern w:val="0"/>
          <w:sz w:val="24"/>
          <w:szCs w:val="24"/>
        </w:rPr>
        <w:t xml:space="preserve">第九条 </w:t>
      </w:r>
      <w:r>
        <w:rPr>
          <w:rFonts w:ascii="宋体" w:eastAsia="宋体" w:cs="宋体"/>
          <w:b/>
          <w:bCs/>
          <w:kern w:val="0"/>
          <w:sz w:val="24"/>
          <w:szCs w:val="24"/>
        </w:rPr>
        <w:t xml:space="preserve"> </w:t>
      </w:r>
      <w:r>
        <w:rPr>
          <w:rFonts w:hint="eastAsia" w:ascii="宋体" w:eastAsia="宋体" w:cs="宋体"/>
          <w:b/>
          <w:bCs/>
          <w:kern w:val="0"/>
          <w:sz w:val="24"/>
          <w:szCs w:val="24"/>
        </w:rPr>
        <w:t>不可抗力</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autoSpaceDE w:val="0"/>
        <w:autoSpaceDN w:val="0"/>
        <w:adjustRightInd w:val="0"/>
        <w:spacing w:line="360" w:lineRule="auto"/>
        <w:ind w:firstLine="482" w:firstLineChars="200"/>
        <w:jc w:val="left"/>
        <w:rPr>
          <w:rFonts w:ascii="宋体" w:eastAsia="宋体" w:cs="宋体"/>
          <w:b/>
          <w:bCs/>
          <w:kern w:val="0"/>
          <w:sz w:val="24"/>
          <w:szCs w:val="24"/>
        </w:rPr>
      </w:pPr>
      <w:r>
        <w:rPr>
          <w:rFonts w:hint="eastAsia" w:ascii="宋体" w:eastAsia="宋体" w:cs="宋体"/>
          <w:b/>
          <w:bCs/>
          <w:kern w:val="0"/>
          <w:sz w:val="24"/>
          <w:szCs w:val="24"/>
        </w:rPr>
        <w:t xml:space="preserve">第十条 </w:t>
      </w:r>
      <w:r>
        <w:rPr>
          <w:rFonts w:ascii="宋体" w:eastAsia="宋体" w:cs="宋体"/>
          <w:b/>
          <w:bCs/>
          <w:kern w:val="0"/>
          <w:sz w:val="24"/>
          <w:szCs w:val="24"/>
        </w:rPr>
        <w:t xml:space="preserve"> </w:t>
      </w:r>
      <w:r>
        <w:rPr>
          <w:rFonts w:hint="eastAsia" w:ascii="宋体" w:eastAsia="宋体" w:cs="宋体"/>
          <w:b/>
          <w:bCs/>
          <w:kern w:val="0"/>
          <w:sz w:val="24"/>
          <w:szCs w:val="24"/>
        </w:rPr>
        <w:t>争议的解决</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若执行本合同的过程中发生纠纷，双方当事人应当及时协商解决；协商不成时，可向甲方所在地有管辖权人民法院提起诉讼。</w:t>
      </w:r>
      <w:r>
        <w:rPr>
          <w:rFonts w:hint="eastAsia" w:ascii="宋体" w:eastAsia="宋体" w:cs="宋体"/>
          <w:kern w:val="0"/>
          <w:sz w:val="24"/>
          <w:szCs w:val="24"/>
          <w:lang w:eastAsia="zh-Hans"/>
        </w:rPr>
        <w:t>期间所产生的一切费用</w:t>
      </w:r>
      <w:r>
        <w:rPr>
          <w:rFonts w:ascii="宋体" w:eastAsia="宋体" w:cs="宋体"/>
          <w:kern w:val="0"/>
          <w:sz w:val="24"/>
          <w:szCs w:val="24"/>
          <w:lang w:eastAsia="zh-Hans"/>
        </w:rPr>
        <w:t>（</w:t>
      </w:r>
      <w:r>
        <w:rPr>
          <w:rFonts w:hint="eastAsia" w:ascii="宋体" w:eastAsia="宋体" w:cs="宋体"/>
          <w:kern w:val="0"/>
          <w:sz w:val="24"/>
          <w:szCs w:val="24"/>
          <w:lang w:eastAsia="zh-Hans"/>
        </w:rPr>
        <w:t>包括但不限于诉讼费</w:t>
      </w:r>
      <w:r>
        <w:rPr>
          <w:rFonts w:ascii="宋体" w:eastAsia="宋体" w:cs="宋体"/>
          <w:kern w:val="0"/>
          <w:sz w:val="24"/>
          <w:szCs w:val="24"/>
          <w:lang w:eastAsia="zh-Hans"/>
        </w:rPr>
        <w:t>、</w:t>
      </w:r>
      <w:r>
        <w:rPr>
          <w:rFonts w:hint="eastAsia" w:ascii="宋体" w:eastAsia="宋体" w:cs="宋体"/>
          <w:kern w:val="0"/>
          <w:sz w:val="24"/>
          <w:szCs w:val="24"/>
          <w:lang w:eastAsia="zh-Hans"/>
        </w:rPr>
        <w:t>保全费</w:t>
      </w:r>
      <w:r>
        <w:rPr>
          <w:rFonts w:ascii="宋体" w:eastAsia="宋体" w:cs="宋体"/>
          <w:kern w:val="0"/>
          <w:sz w:val="24"/>
          <w:szCs w:val="24"/>
          <w:lang w:eastAsia="zh-Hans"/>
        </w:rPr>
        <w:t>、</w:t>
      </w:r>
      <w:r>
        <w:rPr>
          <w:rFonts w:hint="eastAsia" w:ascii="宋体" w:eastAsia="宋体" w:cs="宋体"/>
          <w:kern w:val="0"/>
          <w:sz w:val="24"/>
          <w:szCs w:val="24"/>
          <w:lang w:eastAsia="zh-Hans"/>
        </w:rPr>
        <w:t>律师费等</w:t>
      </w:r>
      <w:r>
        <w:rPr>
          <w:rFonts w:ascii="宋体" w:eastAsia="宋体" w:cs="宋体"/>
          <w:kern w:val="0"/>
          <w:sz w:val="24"/>
          <w:szCs w:val="24"/>
          <w:lang w:eastAsia="zh-Hans"/>
        </w:rPr>
        <w:t>）</w:t>
      </w:r>
      <w:r>
        <w:rPr>
          <w:rFonts w:hint="eastAsia" w:ascii="宋体" w:eastAsia="宋体" w:cs="宋体"/>
          <w:kern w:val="0"/>
          <w:sz w:val="24"/>
          <w:szCs w:val="24"/>
          <w:lang w:eastAsia="zh-Hans"/>
        </w:rPr>
        <w:t>均由</w:t>
      </w:r>
      <w:r>
        <w:rPr>
          <w:rFonts w:hint="eastAsia" w:ascii="宋体" w:eastAsia="宋体" w:cs="宋体"/>
          <w:kern w:val="0"/>
          <w:sz w:val="24"/>
          <w:szCs w:val="24"/>
          <w:lang w:val="en-US" w:eastAsia="zh-CN"/>
        </w:rPr>
        <w:t>违约方</w:t>
      </w:r>
      <w:r>
        <w:rPr>
          <w:rFonts w:hint="eastAsia" w:ascii="宋体" w:eastAsia="宋体" w:cs="宋体"/>
          <w:kern w:val="0"/>
          <w:sz w:val="24"/>
          <w:szCs w:val="24"/>
          <w:lang w:eastAsia="zh-Hans"/>
        </w:rPr>
        <w:t>承担</w:t>
      </w:r>
      <w:r>
        <w:rPr>
          <w:rFonts w:ascii="宋体" w:eastAsia="宋体" w:cs="宋体"/>
          <w:kern w:val="0"/>
          <w:sz w:val="24"/>
          <w:szCs w:val="24"/>
          <w:lang w:eastAsia="zh-Hans"/>
        </w:rPr>
        <w:t>。</w:t>
      </w:r>
    </w:p>
    <w:p>
      <w:pPr>
        <w:autoSpaceDE w:val="0"/>
        <w:autoSpaceDN w:val="0"/>
        <w:adjustRightInd w:val="0"/>
        <w:spacing w:line="360" w:lineRule="auto"/>
        <w:ind w:firstLine="482" w:firstLineChars="200"/>
        <w:jc w:val="left"/>
        <w:rPr>
          <w:rFonts w:ascii="宋体" w:eastAsia="宋体" w:cs="宋体"/>
          <w:b/>
          <w:bCs/>
          <w:kern w:val="0"/>
          <w:sz w:val="24"/>
          <w:szCs w:val="24"/>
        </w:rPr>
      </w:pPr>
      <w:r>
        <w:rPr>
          <w:rFonts w:hint="eastAsia" w:ascii="宋体" w:eastAsia="宋体" w:cs="宋体"/>
          <w:b/>
          <w:bCs/>
          <w:kern w:val="0"/>
          <w:sz w:val="24"/>
          <w:szCs w:val="24"/>
        </w:rPr>
        <w:t xml:space="preserve">第十一条 </w:t>
      </w:r>
      <w:r>
        <w:rPr>
          <w:rFonts w:ascii="宋体" w:eastAsia="宋体" w:cs="宋体"/>
          <w:b/>
          <w:bCs/>
          <w:kern w:val="0"/>
          <w:sz w:val="24"/>
          <w:szCs w:val="24"/>
        </w:rPr>
        <w:t xml:space="preserve"> </w:t>
      </w:r>
      <w:r>
        <w:rPr>
          <w:rFonts w:hint="eastAsia" w:ascii="宋体" w:eastAsia="宋体" w:cs="宋体"/>
          <w:b/>
          <w:bCs/>
          <w:kern w:val="0"/>
          <w:sz w:val="24"/>
          <w:szCs w:val="24"/>
        </w:rPr>
        <w:t>监督和管理</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（一）甲乙双方经协商一致需变更合同实质性条款或订立补充合同的，应先取得政府采购监督管理部门的同意，并将相关资料报送备案。</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（二）甲乙双方均应自觉配合政府采购监督管理部门对合同履行情况的监督检查，如实反映情况，提供有关资料；否则，将对有关单位、当事人按照有关规定予以处罚。</w:t>
      </w:r>
    </w:p>
    <w:p>
      <w:pPr>
        <w:autoSpaceDE w:val="0"/>
        <w:autoSpaceDN w:val="0"/>
        <w:adjustRightInd w:val="0"/>
        <w:spacing w:line="360" w:lineRule="auto"/>
        <w:ind w:firstLine="482" w:firstLineChars="200"/>
        <w:jc w:val="left"/>
        <w:rPr>
          <w:rFonts w:ascii="宋体" w:eastAsia="宋体" w:cs="宋体"/>
          <w:b/>
          <w:bCs/>
          <w:kern w:val="0"/>
          <w:sz w:val="24"/>
          <w:szCs w:val="24"/>
        </w:rPr>
      </w:pPr>
      <w:r>
        <w:rPr>
          <w:rFonts w:hint="eastAsia" w:ascii="宋体" w:eastAsia="宋体" w:cs="宋体"/>
          <w:b/>
          <w:bCs/>
          <w:kern w:val="0"/>
          <w:sz w:val="24"/>
          <w:szCs w:val="24"/>
        </w:rPr>
        <w:t xml:space="preserve">第十二条 </w:t>
      </w:r>
      <w:r>
        <w:rPr>
          <w:rFonts w:ascii="宋体" w:eastAsia="宋体" w:cs="宋体"/>
          <w:b/>
          <w:bCs/>
          <w:kern w:val="0"/>
          <w:sz w:val="24"/>
          <w:szCs w:val="24"/>
        </w:rPr>
        <w:t xml:space="preserve"> </w:t>
      </w:r>
      <w:r>
        <w:rPr>
          <w:rFonts w:hint="eastAsia" w:ascii="宋体" w:eastAsia="宋体" w:cs="宋体"/>
          <w:b/>
          <w:bCs/>
          <w:kern w:val="0"/>
          <w:sz w:val="24"/>
          <w:szCs w:val="24"/>
        </w:rPr>
        <w:t>无效合同</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甲乙双方如因违反法律和有关规定，合同被宣告无效的，有过错的一方应当承担赔偿责任，双方都有过错的，各自承担相应的责任。</w:t>
      </w:r>
    </w:p>
    <w:p>
      <w:pPr>
        <w:autoSpaceDE w:val="0"/>
        <w:autoSpaceDN w:val="0"/>
        <w:adjustRightInd w:val="0"/>
        <w:spacing w:line="360" w:lineRule="auto"/>
        <w:ind w:firstLine="482" w:firstLineChars="200"/>
        <w:jc w:val="left"/>
        <w:rPr>
          <w:rFonts w:ascii="宋体" w:eastAsia="宋体" w:cs="宋体"/>
          <w:b/>
          <w:bCs/>
          <w:kern w:val="0"/>
          <w:sz w:val="24"/>
          <w:szCs w:val="24"/>
        </w:rPr>
      </w:pPr>
      <w:r>
        <w:rPr>
          <w:rFonts w:hint="eastAsia" w:ascii="宋体" w:eastAsia="宋体" w:cs="宋体"/>
          <w:b/>
          <w:bCs/>
          <w:kern w:val="0"/>
          <w:sz w:val="24"/>
          <w:szCs w:val="24"/>
        </w:rPr>
        <w:t xml:space="preserve">第十三条 </w:t>
      </w:r>
      <w:r>
        <w:rPr>
          <w:rFonts w:ascii="宋体" w:eastAsia="宋体" w:cs="宋体"/>
          <w:b/>
          <w:bCs/>
          <w:kern w:val="0"/>
          <w:sz w:val="24"/>
          <w:szCs w:val="24"/>
        </w:rPr>
        <w:t xml:space="preserve"> </w:t>
      </w:r>
      <w:r>
        <w:rPr>
          <w:rFonts w:hint="eastAsia" w:ascii="宋体" w:eastAsia="宋体" w:cs="宋体"/>
          <w:b/>
          <w:bCs/>
          <w:kern w:val="0"/>
          <w:sz w:val="24"/>
          <w:szCs w:val="24"/>
        </w:rPr>
        <w:t>投诉</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甲方如对乙方所提供的服务提出投诉，经政府采购监督管理部门调查核实，属于有效投诉。有效投诉超过三次的，政府采购监督管理部门可以终止本合同，并取消乙方的中标资格，并按有关规定接受处理。</w:t>
      </w:r>
    </w:p>
    <w:p>
      <w:pPr>
        <w:autoSpaceDE w:val="0"/>
        <w:autoSpaceDN w:val="0"/>
        <w:adjustRightInd w:val="0"/>
        <w:spacing w:line="360" w:lineRule="auto"/>
        <w:ind w:firstLine="482" w:firstLineChars="200"/>
        <w:jc w:val="left"/>
        <w:rPr>
          <w:rFonts w:ascii="宋体" w:eastAsia="宋体" w:cs="宋体"/>
          <w:b/>
          <w:bCs/>
          <w:kern w:val="0"/>
          <w:sz w:val="24"/>
          <w:szCs w:val="24"/>
        </w:rPr>
      </w:pPr>
      <w:r>
        <w:rPr>
          <w:rFonts w:hint="eastAsia" w:ascii="宋体" w:eastAsia="宋体" w:cs="宋体"/>
          <w:b/>
          <w:bCs/>
          <w:kern w:val="0"/>
          <w:sz w:val="24"/>
          <w:szCs w:val="24"/>
        </w:rPr>
        <w:t xml:space="preserve">第十四条 </w:t>
      </w:r>
      <w:r>
        <w:rPr>
          <w:rFonts w:ascii="宋体" w:eastAsia="宋体" w:cs="宋体"/>
          <w:b/>
          <w:bCs/>
          <w:kern w:val="0"/>
          <w:sz w:val="24"/>
          <w:szCs w:val="24"/>
        </w:rPr>
        <w:t xml:space="preserve"> </w:t>
      </w:r>
      <w:r>
        <w:rPr>
          <w:rFonts w:hint="eastAsia" w:ascii="宋体" w:eastAsia="宋体" w:cs="宋体"/>
          <w:b/>
          <w:bCs/>
          <w:kern w:val="0"/>
          <w:sz w:val="24"/>
          <w:szCs w:val="24"/>
        </w:rPr>
        <w:t>附则</w:t>
      </w:r>
    </w:p>
    <w:p>
      <w:pPr>
        <w:autoSpaceDE w:val="0"/>
        <w:autoSpaceDN w:val="0"/>
        <w:adjustRightInd w:val="0"/>
        <w:spacing w:line="360" w:lineRule="auto"/>
        <w:ind w:firstLine="480" w:firstLineChars="200"/>
        <w:jc w:val="left"/>
        <w:rPr>
          <w:rFonts w:ascii="宋体" w:eastAsia="宋体" w:cs="宋体"/>
          <w:kern w:val="0"/>
          <w:sz w:val="24"/>
          <w:szCs w:val="24"/>
        </w:rPr>
      </w:pPr>
      <w:r>
        <w:rPr>
          <w:rFonts w:hint="eastAsia" w:ascii="宋体" w:eastAsia="宋体" w:cs="宋体"/>
          <w:kern w:val="0"/>
          <w:sz w:val="24"/>
          <w:szCs w:val="24"/>
        </w:rPr>
        <w:t>（一）本合同一式</w:t>
      </w:r>
      <w:r>
        <w:rPr>
          <w:rFonts w:hint="eastAsia" w:ascii="宋体" w:eastAsia="宋体" w:cs="宋体"/>
          <w:kern w:val="0"/>
          <w:sz w:val="24"/>
          <w:szCs w:val="24"/>
          <w:u w:val="single"/>
        </w:rPr>
        <w:t>肆</w:t>
      </w:r>
      <w:r>
        <w:rPr>
          <w:rFonts w:hint="eastAsia" w:ascii="宋体" w:eastAsia="宋体" w:cs="宋体"/>
          <w:kern w:val="0"/>
          <w:sz w:val="24"/>
          <w:szCs w:val="24"/>
        </w:rPr>
        <w:t>份，甲方执</w:t>
      </w:r>
      <w:r>
        <w:rPr>
          <w:rFonts w:hint="eastAsia" w:ascii="宋体" w:eastAsia="宋体" w:cs="宋体"/>
          <w:kern w:val="0"/>
          <w:sz w:val="24"/>
          <w:szCs w:val="24"/>
          <w:u w:val="single"/>
        </w:rPr>
        <w:t>贰</w:t>
      </w:r>
      <w:r>
        <w:rPr>
          <w:rFonts w:hint="eastAsia" w:ascii="宋体" w:eastAsia="宋体" w:cs="宋体"/>
          <w:kern w:val="0"/>
          <w:sz w:val="24"/>
          <w:szCs w:val="24"/>
        </w:rPr>
        <w:t>份，乙方执</w:t>
      </w:r>
      <w:r>
        <w:rPr>
          <w:rFonts w:hint="eastAsia" w:ascii="宋体" w:eastAsia="宋体" w:cs="宋体"/>
          <w:kern w:val="0"/>
          <w:sz w:val="24"/>
          <w:szCs w:val="24"/>
          <w:u w:val="single"/>
        </w:rPr>
        <w:t>贰</w:t>
      </w:r>
      <w:r>
        <w:rPr>
          <w:rFonts w:hint="eastAsia" w:ascii="宋体" w:eastAsia="宋体" w:cs="宋体"/>
          <w:kern w:val="0"/>
          <w:sz w:val="24"/>
          <w:szCs w:val="24"/>
        </w:rPr>
        <w:t>份。每份均具有同等法律效力。</w:t>
      </w:r>
    </w:p>
    <w:p>
      <w:pPr>
        <w:autoSpaceDE w:val="0"/>
        <w:autoSpaceDN w:val="0"/>
        <w:adjustRightInd w:val="0"/>
        <w:spacing w:line="360" w:lineRule="auto"/>
        <w:ind w:firstLine="480" w:firstLineChars="200"/>
        <w:jc w:val="left"/>
        <w:rPr>
          <w:rFonts w:hint="default" w:ascii="宋体" w:eastAsia="宋体" w:cs="宋体"/>
          <w:kern w:val="0"/>
          <w:sz w:val="24"/>
          <w:szCs w:val="24"/>
          <w:lang w:val="en-US" w:eastAsia="zh-CN"/>
        </w:rPr>
      </w:pPr>
      <w:r>
        <w:rPr>
          <w:rFonts w:hint="eastAsia" w:ascii="宋体" w:eastAsia="宋体" w:cs="宋体"/>
          <w:kern w:val="0"/>
          <w:sz w:val="24"/>
          <w:szCs w:val="24"/>
        </w:rPr>
        <w:t>（二）本合同自甲乙双方签字盖章后生效。</w:t>
      </w:r>
      <w:r>
        <w:rPr>
          <w:rFonts w:hint="eastAsia" w:ascii="宋体" w:eastAsia="宋体" w:cs="宋体"/>
          <w:kern w:val="0"/>
          <w:sz w:val="24"/>
          <w:szCs w:val="24"/>
          <w:lang w:eastAsia="zh-CN"/>
        </w:rPr>
        <w:t>（</w:t>
      </w:r>
      <w:r>
        <w:rPr>
          <w:rFonts w:hint="eastAsia" w:ascii="宋体" w:eastAsia="宋体" w:cs="宋体"/>
          <w:kern w:val="0"/>
          <w:sz w:val="24"/>
          <w:szCs w:val="24"/>
          <w:lang w:val="en-US" w:eastAsia="zh-CN"/>
        </w:rPr>
        <w:t>本页无正文）</w:t>
      </w:r>
    </w:p>
    <w:p>
      <w:r>
        <w:rPr>
          <w:rFonts w:ascii="宋体" w:eastAsia="宋体" w:cs="宋体"/>
          <w:kern w:val="0"/>
          <w:sz w:val="24"/>
          <w:szCs w:val="24"/>
        </w:rPr>
        <w:br w:type="page"/>
      </w:r>
    </w:p>
    <w:p>
      <w:pPr>
        <w:autoSpaceDE w:val="0"/>
        <w:autoSpaceDN w:val="0"/>
        <w:adjustRightInd w:val="0"/>
        <w:spacing w:line="360" w:lineRule="auto"/>
        <w:jc w:val="left"/>
        <w:rPr>
          <w:rFonts w:hint="default" w:ascii="宋体" w:eastAsia="宋体" w:cs="宋体"/>
          <w:kern w:val="0"/>
          <w:sz w:val="24"/>
          <w:szCs w:val="24"/>
          <w:lang w:val="en-US" w:eastAsia="zh-CN"/>
        </w:rPr>
      </w:pPr>
      <w:r>
        <w:rPr>
          <w:rFonts w:hint="eastAsia" w:ascii="宋体" w:eastAsia="宋体" w:cs="宋体"/>
          <w:kern w:val="0"/>
          <w:sz w:val="24"/>
          <w:szCs w:val="24"/>
          <w:lang w:eastAsia="zh-CN"/>
        </w:rPr>
        <w:t>（</w:t>
      </w:r>
      <w:r>
        <w:rPr>
          <w:rFonts w:hint="eastAsia" w:ascii="宋体" w:eastAsia="宋体" w:cs="宋体"/>
          <w:kern w:val="0"/>
          <w:sz w:val="24"/>
          <w:szCs w:val="24"/>
          <w:lang w:val="en-US" w:eastAsia="zh-CN"/>
        </w:rPr>
        <w:t>本页为签署页）</w:t>
      </w:r>
    </w:p>
    <w:p>
      <w:pPr>
        <w:autoSpaceDE w:val="0"/>
        <w:autoSpaceDN w:val="0"/>
        <w:adjustRightInd w:val="0"/>
        <w:spacing w:line="360" w:lineRule="auto"/>
        <w:jc w:val="left"/>
        <w:rPr>
          <w:rFonts w:ascii="宋体" w:eastAsia="宋体" w:cs="宋体"/>
          <w:kern w:val="0"/>
          <w:sz w:val="24"/>
          <w:szCs w:val="24"/>
        </w:rPr>
      </w:pPr>
    </w:p>
    <w:p>
      <w:pPr>
        <w:autoSpaceDE w:val="0"/>
        <w:autoSpaceDN w:val="0"/>
        <w:adjustRightInd w:val="0"/>
        <w:spacing w:line="360" w:lineRule="auto"/>
        <w:jc w:val="left"/>
        <w:rPr>
          <w:rFonts w:ascii="宋体" w:eastAsia="宋体" w:cs="宋体"/>
          <w:kern w:val="0"/>
          <w:sz w:val="24"/>
          <w:szCs w:val="24"/>
        </w:rPr>
      </w:pPr>
      <w:r>
        <w:rPr>
          <w:rFonts w:hint="eastAsia" w:ascii="宋体" w:eastAsia="宋体" w:cs="宋体"/>
          <w:kern w:val="0"/>
          <w:sz w:val="24"/>
          <w:szCs w:val="24"/>
        </w:rPr>
        <w:t>购货单位（甲方）：</w:t>
      </w:r>
      <w:r>
        <w:rPr>
          <w:rFonts w:ascii="宋体" w:eastAsia="宋体" w:cs="宋体"/>
          <w:kern w:val="0"/>
          <w:sz w:val="24"/>
          <w:szCs w:val="24"/>
        </w:rPr>
        <w:t xml:space="preserve">                    </w:t>
      </w:r>
      <w:r>
        <w:rPr>
          <w:rFonts w:hint="eastAsia" w:ascii="宋体" w:eastAsia="宋体" w:cs="宋体"/>
          <w:kern w:val="0"/>
          <w:sz w:val="24"/>
          <w:szCs w:val="24"/>
        </w:rPr>
        <w:t>供货单位（乙方）：</w:t>
      </w:r>
    </w:p>
    <w:p>
      <w:pPr>
        <w:autoSpaceDE w:val="0"/>
        <w:autoSpaceDN w:val="0"/>
        <w:adjustRightInd w:val="0"/>
        <w:spacing w:line="360" w:lineRule="auto"/>
        <w:jc w:val="left"/>
        <w:rPr>
          <w:rFonts w:ascii="宋体" w:eastAsia="宋体" w:cs="宋体"/>
          <w:kern w:val="0"/>
          <w:sz w:val="24"/>
          <w:szCs w:val="24"/>
        </w:rPr>
      </w:pPr>
      <w:r>
        <w:rPr>
          <w:rFonts w:hint="eastAsia" w:ascii="宋体" w:eastAsia="宋体" w:cs="宋体"/>
          <w:kern w:val="0"/>
          <w:sz w:val="24"/>
          <w:szCs w:val="24"/>
        </w:rPr>
        <w:t>法定代表人：</w:t>
      </w:r>
      <w:r>
        <w:rPr>
          <w:rFonts w:ascii="宋体" w:eastAsia="宋体" w:cs="宋体"/>
          <w:kern w:val="0"/>
          <w:sz w:val="24"/>
          <w:szCs w:val="24"/>
        </w:rPr>
        <w:t xml:space="preserve">                          </w:t>
      </w:r>
      <w:r>
        <w:rPr>
          <w:rFonts w:hint="eastAsia" w:ascii="宋体" w:eastAsia="宋体" w:cs="宋体"/>
          <w:kern w:val="0"/>
          <w:sz w:val="24"/>
          <w:szCs w:val="24"/>
        </w:rPr>
        <w:t>法定代表人</w:t>
      </w:r>
      <w:r>
        <w:rPr>
          <w:rFonts w:ascii="宋体" w:eastAsia="宋体" w:cs="宋体"/>
          <w:kern w:val="0"/>
          <w:sz w:val="24"/>
          <w:szCs w:val="24"/>
        </w:rPr>
        <w:t>/</w:t>
      </w:r>
      <w:r>
        <w:rPr>
          <w:rFonts w:hint="eastAsia" w:ascii="宋体" w:eastAsia="宋体" w:cs="宋体"/>
          <w:kern w:val="0"/>
          <w:sz w:val="24"/>
          <w:szCs w:val="24"/>
        </w:rPr>
        <w:t>负责人：</w:t>
      </w:r>
    </w:p>
    <w:p>
      <w:pPr>
        <w:autoSpaceDE w:val="0"/>
        <w:autoSpaceDN w:val="0"/>
        <w:adjustRightInd w:val="0"/>
        <w:spacing w:line="360" w:lineRule="auto"/>
        <w:jc w:val="left"/>
        <w:rPr>
          <w:rFonts w:ascii="宋体" w:eastAsia="宋体" w:cs="宋体"/>
          <w:kern w:val="0"/>
          <w:sz w:val="24"/>
          <w:szCs w:val="24"/>
        </w:rPr>
      </w:pPr>
      <w:r>
        <w:rPr>
          <w:rFonts w:hint="eastAsia" w:ascii="宋体" w:eastAsia="宋体" w:cs="宋体"/>
          <w:kern w:val="0"/>
          <w:sz w:val="24"/>
          <w:szCs w:val="24"/>
        </w:rPr>
        <w:t>委托代理人：</w:t>
      </w:r>
      <w:r>
        <w:rPr>
          <w:rFonts w:ascii="宋体" w:eastAsia="宋体" w:cs="宋体"/>
          <w:kern w:val="0"/>
          <w:sz w:val="24"/>
          <w:szCs w:val="24"/>
        </w:rPr>
        <w:t xml:space="preserve">                          </w:t>
      </w:r>
      <w:r>
        <w:rPr>
          <w:rFonts w:hint="eastAsia" w:ascii="宋体" w:eastAsia="宋体" w:cs="宋体"/>
          <w:kern w:val="0"/>
          <w:sz w:val="24"/>
          <w:szCs w:val="24"/>
        </w:rPr>
        <w:t>委托代理人：</w:t>
      </w:r>
    </w:p>
    <w:p>
      <w:pPr>
        <w:autoSpaceDE w:val="0"/>
        <w:autoSpaceDN w:val="0"/>
        <w:adjustRightInd w:val="0"/>
        <w:spacing w:line="360" w:lineRule="auto"/>
        <w:jc w:val="left"/>
        <w:rPr>
          <w:rFonts w:ascii="宋体" w:eastAsia="宋体" w:cs="宋体"/>
          <w:kern w:val="0"/>
          <w:sz w:val="24"/>
          <w:szCs w:val="24"/>
        </w:rPr>
      </w:pPr>
      <w:r>
        <w:rPr>
          <w:rFonts w:hint="eastAsia" w:ascii="宋体" w:eastAsia="宋体" w:cs="宋体"/>
          <w:kern w:val="0"/>
          <w:sz w:val="24"/>
          <w:szCs w:val="24"/>
        </w:rPr>
        <w:t>地址：</w:t>
      </w:r>
      <w:r>
        <w:rPr>
          <w:rFonts w:ascii="宋体" w:eastAsia="宋体" w:cs="宋体"/>
          <w:kern w:val="0"/>
          <w:sz w:val="24"/>
          <w:szCs w:val="24"/>
        </w:rPr>
        <w:t xml:space="preserve">                                </w:t>
      </w:r>
      <w:r>
        <w:rPr>
          <w:rFonts w:hint="eastAsia" w:ascii="宋体" w:eastAsia="宋体" w:cs="宋体"/>
          <w:kern w:val="0"/>
          <w:sz w:val="24"/>
          <w:szCs w:val="24"/>
        </w:rPr>
        <w:t>地址：</w:t>
      </w:r>
    </w:p>
    <w:p>
      <w:pPr>
        <w:autoSpaceDE w:val="0"/>
        <w:autoSpaceDN w:val="0"/>
        <w:adjustRightInd w:val="0"/>
        <w:spacing w:line="360" w:lineRule="auto"/>
        <w:jc w:val="left"/>
        <w:rPr>
          <w:rFonts w:ascii="宋体" w:eastAsia="宋体" w:cs="宋体"/>
          <w:kern w:val="0"/>
          <w:sz w:val="24"/>
          <w:szCs w:val="24"/>
        </w:rPr>
      </w:pPr>
      <w:r>
        <w:rPr>
          <w:rFonts w:hint="eastAsia" w:ascii="宋体" w:eastAsia="宋体" w:cs="宋体"/>
          <w:kern w:val="0"/>
          <w:sz w:val="24"/>
          <w:szCs w:val="24"/>
        </w:rPr>
        <w:t>开户银行：</w:t>
      </w:r>
      <w:r>
        <w:rPr>
          <w:rFonts w:ascii="宋体" w:eastAsia="宋体" w:cs="宋体"/>
          <w:kern w:val="0"/>
          <w:sz w:val="24"/>
          <w:szCs w:val="24"/>
        </w:rPr>
        <w:t xml:space="preserve">                            </w:t>
      </w:r>
      <w:r>
        <w:rPr>
          <w:rFonts w:hint="eastAsia" w:ascii="宋体" w:eastAsia="宋体" w:cs="宋体"/>
          <w:kern w:val="0"/>
          <w:sz w:val="24"/>
          <w:szCs w:val="24"/>
        </w:rPr>
        <w:t>开户银行：</w:t>
      </w:r>
    </w:p>
    <w:p>
      <w:pPr>
        <w:autoSpaceDE w:val="0"/>
        <w:autoSpaceDN w:val="0"/>
        <w:adjustRightInd w:val="0"/>
        <w:spacing w:line="360" w:lineRule="auto"/>
        <w:jc w:val="left"/>
        <w:rPr>
          <w:rFonts w:ascii="宋体" w:eastAsia="宋体" w:cs="宋体"/>
          <w:kern w:val="0"/>
          <w:sz w:val="24"/>
          <w:szCs w:val="24"/>
        </w:rPr>
      </w:pPr>
      <w:r>
        <w:rPr>
          <w:rFonts w:hint="eastAsia" w:ascii="宋体" w:eastAsia="宋体" w:cs="宋体"/>
          <w:kern w:val="0"/>
          <w:sz w:val="24"/>
          <w:szCs w:val="24"/>
        </w:rPr>
        <w:t>账号：</w:t>
      </w:r>
      <w:r>
        <w:rPr>
          <w:rFonts w:ascii="宋体" w:eastAsia="宋体" w:cs="宋体"/>
          <w:kern w:val="0"/>
          <w:sz w:val="24"/>
          <w:szCs w:val="24"/>
        </w:rPr>
        <w:t xml:space="preserve">                                </w:t>
      </w:r>
      <w:r>
        <w:rPr>
          <w:rFonts w:hint="eastAsia" w:ascii="宋体" w:eastAsia="宋体" w:cs="宋体"/>
          <w:kern w:val="0"/>
          <w:sz w:val="24"/>
          <w:szCs w:val="24"/>
        </w:rPr>
        <w:t>账号：</w:t>
      </w:r>
    </w:p>
    <w:p>
      <w:pPr>
        <w:autoSpaceDE w:val="0"/>
        <w:autoSpaceDN w:val="0"/>
        <w:adjustRightInd w:val="0"/>
        <w:spacing w:line="360" w:lineRule="auto"/>
        <w:jc w:val="left"/>
        <w:rPr>
          <w:rFonts w:ascii="宋体" w:eastAsia="宋体" w:cs="宋体"/>
          <w:kern w:val="0"/>
          <w:sz w:val="24"/>
          <w:szCs w:val="24"/>
        </w:rPr>
      </w:pPr>
      <w:r>
        <w:rPr>
          <w:rFonts w:hint="eastAsia" w:ascii="宋体" w:eastAsia="宋体" w:cs="宋体"/>
          <w:kern w:val="0"/>
          <w:sz w:val="24"/>
          <w:szCs w:val="24"/>
        </w:rPr>
        <w:t>电话：</w:t>
      </w:r>
      <w:r>
        <w:rPr>
          <w:rFonts w:ascii="宋体" w:eastAsia="宋体" w:cs="宋体"/>
          <w:kern w:val="0"/>
          <w:sz w:val="24"/>
          <w:szCs w:val="24"/>
        </w:rPr>
        <w:t xml:space="preserve">                                </w:t>
      </w:r>
      <w:r>
        <w:rPr>
          <w:rFonts w:hint="eastAsia" w:ascii="宋体" w:eastAsia="宋体" w:cs="宋体"/>
          <w:kern w:val="0"/>
          <w:sz w:val="24"/>
          <w:szCs w:val="24"/>
        </w:rPr>
        <w:t>电话：</w:t>
      </w:r>
    </w:p>
    <w:p>
      <w:pPr>
        <w:autoSpaceDE w:val="0"/>
        <w:autoSpaceDN w:val="0"/>
        <w:adjustRightInd w:val="0"/>
        <w:spacing w:line="360" w:lineRule="auto"/>
        <w:jc w:val="left"/>
        <w:rPr>
          <w:rFonts w:ascii="宋体" w:eastAsia="宋体" w:cs="宋体"/>
          <w:kern w:val="0"/>
          <w:sz w:val="24"/>
          <w:szCs w:val="24"/>
        </w:rPr>
      </w:pPr>
    </w:p>
    <w:p>
      <w:pPr>
        <w:autoSpaceDE w:val="0"/>
        <w:autoSpaceDN w:val="0"/>
        <w:adjustRightInd w:val="0"/>
        <w:spacing w:line="360" w:lineRule="auto"/>
        <w:jc w:val="left"/>
        <w:rPr>
          <w:rFonts w:ascii="宋体" w:eastAsia="宋体" w:cs="宋体"/>
          <w:kern w:val="0"/>
          <w:sz w:val="24"/>
          <w:szCs w:val="24"/>
        </w:rPr>
      </w:pPr>
    </w:p>
    <w:p>
      <w:pPr>
        <w:autoSpaceDE w:val="0"/>
        <w:autoSpaceDN w:val="0"/>
        <w:adjustRightInd w:val="0"/>
        <w:spacing w:line="360" w:lineRule="auto"/>
        <w:jc w:val="left"/>
        <w:rPr>
          <w:rFonts w:ascii="宋体" w:eastAsia="宋体" w:cs="宋体"/>
          <w:kern w:val="0"/>
          <w:sz w:val="24"/>
          <w:szCs w:val="24"/>
        </w:rPr>
      </w:pPr>
    </w:p>
    <w:p>
      <w:pPr>
        <w:autoSpaceDE w:val="0"/>
        <w:autoSpaceDN w:val="0"/>
        <w:adjustRightInd w:val="0"/>
        <w:spacing w:line="360" w:lineRule="auto"/>
        <w:jc w:val="left"/>
        <w:rPr>
          <w:rFonts w:ascii="宋体" w:eastAsia="宋体" w:cs="宋体"/>
          <w:kern w:val="0"/>
          <w:sz w:val="24"/>
          <w:szCs w:val="24"/>
        </w:rPr>
      </w:pPr>
      <w:r>
        <w:rPr>
          <w:rFonts w:hint="eastAsia" w:ascii="宋体" w:eastAsia="宋体" w:cs="宋体"/>
          <w:kern w:val="0"/>
          <w:sz w:val="24"/>
          <w:szCs w:val="24"/>
        </w:rPr>
        <w:t>签约时间：</w:t>
      </w:r>
      <w:r>
        <w:rPr>
          <w:rFonts w:ascii="宋体" w:eastAsia="宋体" w:cs="宋体"/>
          <w:kern w:val="0"/>
          <w:sz w:val="24"/>
          <w:szCs w:val="24"/>
        </w:rPr>
        <w:t xml:space="preserve">   </w:t>
      </w:r>
      <w:r>
        <w:rPr>
          <w:rFonts w:hint="eastAsia" w:ascii="宋体" w:eastAsia="宋体" w:cs="宋体"/>
          <w:kern w:val="0"/>
          <w:sz w:val="24"/>
          <w:szCs w:val="24"/>
        </w:rPr>
        <w:t xml:space="preserve">年 </w:t>
      </w:r>
      <w:r>
        <w:rPr>
          <w:rFonts w:ascii="宋体" w:eastAsia="宋体" w:cs="宋体"/>
          <w:kern w:val="0"/>
          <w:sz w:val="24"/>
          <w:szCs w:val="24"/>
        </w:rPr>
        <w:t xml:space="preserve">  </w:t>
      </w:r>
      <w:r>
        <w:rPr>
          <w:rFonts w:hint="eastAsia" w:ascii="宋体" w:eastAsia="宋体" w:cs="宋体"/>
          <w:kern w:val="0"/>
          <w:sz w:val="24"/>
          <w:szCs w:val="24"/>
        </w:rPr>
        <w:t xml:space="preserve">月 </w:t>
      </w:r>
      <w:r>
        <w:rPr>
          <w:rFonts w:ascii="宋体" w:eastAsia="宋体" w:cs="宋体"/>
          <w:kern w:val="0"/>
          <w:sz w:val="24"/>
          <w:szCs w:val="24"/>
        </w:rPr>
        <w:t xml:space="preserve">  </w:t>
      </w:r>
      <w:r>
        <w:rPr>
          <w:rFonts w:hint="eastAsia" w:ascii="宋体" w:eastAsia="宋体" w:cs="宋体"/>
          <w:kern w:val="0"/>
          <w:sz w:val="24"/>
          <w:szCs w:val="24"/>
        </w:rPr>
        <w:t>日</w:t>
      </w:r>
    </w:p>
    <w:p>
      <w:pPr>
        <w:spacing w:line="360" w:lineRule="auto"/>
        <w:rPr>
          <w:rFonts w:ascii="宋体" w:eastAsia="宋体" w:cs="宋体"/>
          <w:kern w:val="0"/>
          <w:sz w:val="20"/>
          <w:szCs w:val="20"/>
        </w:rPr>
      </w:pPr>
      <w:r>
        <w:rPr>
          <w:rFonts w:hint="eastAsia" w:ascii="宋体" w:eastAsia="宋体" w:cs="宋体"/>
          <w:kern w:val="0"/>
          <w:sz w:val="24"/>
          <w:szCs w:val="24"/>
        </w:rPr>
        <w:t>签约地点：</w:t>
      </w:r>
      <w:r>
        <w:rPr>
          <w:rFonts w:ascii="宋体" w:eastAsia="宋体" w:cs="宋体"/>
          <w:kern w:val="0"/>
          <w:sz w:val="20"/>
          <w:szCs w:val="20"/>
        </w:rPr>
        <w:t>__</w:t>
      </w:r>
    </w:p>
    <w:p>
      <w:pPr>
        <w:spacing w:line="360" w:lineRule="auto"/>
        <w:rPr>
          <w:rFonts w:ascii="宋体" w:eastAsia="宋体" w:cs="宋体"/>
          <w:kern w:val="0"/>
          <w:sz w:val="20"/>
          <w:szCs w:val="20"/>
        </w:rPr>
      </w:pPr>
    </w:p>
    <w:p>
      <w:pPr>
        <w:spacing w:line="360" w:lineRule="auto"/>
        <w:rPr>
          <w:rFonts w:ascii="宋体" w:eastAsia="宋体" w:cs="宋体"/>
          <w:kern w:val="0"/>
          <w:sz w:val="20"/>
          <w:szCs w:val="20"/>
        </w:rPr>
      </w:pPr>
    </w:p>
    <w:p>
      <w:pPr>
        <w:pStyle w:val="2"/>
        <w:ind w:left="0" w:leftChars="0" w:firstLine="0" w:firstLineChars="0"/>
        <w:rPr>
          <w:rFonts w:hint="eastAsia"/>
        </w:rPr>
      </w:pPr>
    </w:p>
    <w:p>
      <w:pPr>
        <w:ind w:firstLine="482" w:firstLineChars="200"/>
        <w:rPr>
          <w:rFonts w:hint="eastAsia" w:ascii="宋体" w:hAnsi="宋体" w:eastAsia="宋体" w:cs="宋体"/>
          <w:color w:val="auto"/>
          <w:sz w:val="28"/>
          <w:szCs w:val="28"/>
          <w:highlight w:val="none"/>
        </w:rPr>
      </w:pPr>
      <w:r>
        <w:rPr>
          <w:rFonts w:hint="eastAsia" w:ascii="宋体" w:hAnsi="宋体" w:eastAsia="宋体" w:cs="宋体"/>
          <w:b/>
          <w:bCs/>
          <w:sz w:val="24"/>
          <w:szCs w:val="24"/>
          <w:highlight w:val="none"/>
        </w:rPr>
        <w:t>注：本合同样本仅供形式上的参考，具体条款内容由采购人和成交供应商协商确定。</w:t>
      </w:r>
    </w:p>
    <w:p>
      <w:pPr>
        <w:pStyle w:val="2"/>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300000000000000"/>
    <w:charset w:val="88"/>
    <w:family w:val="roman"/>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posOffset>4209415</wp:posOffset>
              </wp:positionH>
              <wp:positionV relativeFrom="paragraph">
                <wp:posOffset>-47625</wp:posOffset>
              </wp:positionV>
              <wp:extent cx="1064895" cy="20193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64895" cy="2019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31.45pt;margin-top:-3.75pt;height:15.9pt;width:83.85pt;mso-position-horizontal-relative:margin;z-index:251659264;mso-width-relative:page;mso-height-relative:page;" filled="f" stroked="f" coordsize="21600,21600" o:gfxdata="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g/RbqNkAAAAJAQAADwAAAAAAAAABACAAAAAiAAAAZHJzL2Rvd25y&#10;ZXYueG1sUEsBAhQAFAAAAAgAh07iQJAIPx82AgAAYgQAAA4AAAAAAAAAAQAgAAAAKAEAAGRycy9l&#10;Mm9Eb2MueG1sUEsFBgAAAAAGAAYAWQEAANAFAAAAAA==&#10;">
              <v:fill on="f" focussize="0,0"/>
              <v:stroke on="f" weight="0.5pt"/>
              <v:imagedata o:title=""/>
              <o:lock v:ext="edit" aspectratio="f"/>
              <v:textbox inset="0mm,0mm,0mm,0mm">
                <w:txbxContent>
                  <w:p>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CED7DA"/>
    <w:multiLevelType w:val="singleLevel"/>
    <w:tmpl w:val="BBCED7DA"/>
    <w:lvl w:ilvl="0" w:tentative="0">
      <w:start w:val="4"/>
      <w:numFmt w:val="chineseCounting"/>
      <w:suff w:val="nothing"/>
      <w:lvlText w:val="%1、"/>
      <w:lvlJc w:val="left"/>
      <w:rPr>
        <w:rFonts w:hint="eastAsia"/>
      </w:rPr>
    </w:lvl>
  </w:abstractNum>
  <w:abstractNum w:abstractNumId="1">
    <w:nsid w:val="2E469314"/>
    <w:multiLevelType w:val="singleLevel"/>
    <w:tmpl w:val="2E469314"/>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NkMmUyYzJlYWY0MzVmNGUwMjZmOGU4Yzg5YTc4OTQifQ=="/>
  </w:docVars>
  <w:rsids>
    <w:rsidRoot w:val="74531B0F"/>
    <w:rsid w:val="068B011B"/>
    <w:rsid w:val="07C30C69"/>
    <w:rsid w:val="088210AA"/>
    <w:rsid w:val="08B52BC0"/>
    <w:rsid w:val="0ADE59D1"/>
    <w:rsid w:val="0B9C5CC1"/>
    <w:rsid w:val="0DAE5536"/>
    <w:rsid w:val="0F8F6A2A"/>
    <w:rsid w:val="130C2FB3"/>
    <w:rsid w:val="13C227D1"/>
    <w:rsid w:val="140B109F"/>
    <w:rsid w:val="177D200A"/>
    <w:rsid w:val="17914D1F"/>
    <w:rsid w:val="191C2E55"/>
    <w:rsid w:val="19564ECE"/>
    <w:rsid w:val="1E85324A"/>
    <w:rsid w:val="23C91DC7"/>
    <w:rsid w:val="240510B5"/>
    <w:rsid w:val="24A87C93"/>
    <w:rsid w:val="251B46E0"/>
    <w:rsid w:val="29DE5A0A"/>
    <w:rsid w:val="2AF23A16"/>
    <w:rsid w:val="2B6126BB"/>
    <w:rsid w:val="2F7075FF"/>
    <w:rsid w:val="2FD30669"/>
    <w:rsid w:val="301601A6"/>
    <w:rsid w:val="32E254BD"/>
    <w:rsid w:val="35541F21"/>
    <w:rsid w:val="35FF4995"/>
    <w:rsid w:val="37651747"/>
    <w:rsid w:val="3AB30274"/>
    <w:rsid w:val="3E2F39F7"/>
    <w:rsid w:val="412F06F1"/>
    <w:rsid w:val="42F8478B"/>
    <w:rsid w:val="430400AA"/>
    <w:rsid w:val="43B35BDA"/>
    <w:rsid w:val="480212E4"/>
    <w:rsid w:val="4B5A1285"/>
    <w:rsid w:val="4E006AFF"/>
    <w:rsid w:val="509946DA"/>
    <w:rsid w:val="53374665"/>
    <w:rsid w:val="543779E1"/>
    <w:rsid w:val="56C66CC8"/>
    <w:rsid w:val="5AD76600"/>
    <w:rsid w:val="5B357F7A"/>
    <w:rsid w:val="5D144D82"/>
    <w:rsid w:val="5E997485"/>
    <w:rsid w:val="66C03272"/>
    <w:rsid w:val="69397FD8"/>
    <w:rsid w:val="6BBA05BE"/>
    <w:rsid w:val="6BE446D9"/>
    <w:rsid w:val="70455963"/>
    <w:rsid w:val="734356A5"/>
    <w:rsid w:val="744F4027"/>
    <w:rsid w:val="74531B0F"/>
    <w:rsid w:val="756A4B47"/>
    <w:rsid w:val="76F679B7"/>
    <w:rsid w:val="771C6018"/>
    <w:rsid w:val="7A602571"/>
    <w:rsid w:val="7B424F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spacing w:after="156"/>
      <w:ind w:left="480" w:leftChars="200"/>
    </w:pPr>
  </w:style>
  <w:style w:type="paragraph" w:styleId="5">
    <w:name w:val="Normal Indent"/>
    <w:basedOn w:val="1"/>
    <w:qFormat/>
    <w:uiPriority w:val="0"/>
    <w:pPr>
      <w:ind w:firstLine="420" w:firstLineChars="200"/>
    </w:pPr>
  </w:style>
  <w:style w:type="paragraph" w:styleId="6">
    <w:name w:val="Body Text"/>
    <w:basedOn w:val="1"/>
    <w:unhideWhenUsed/>
    <w:qFormat/>
    <w:uiPriority w:val="99"/>
    <w:pPr>
      <w:spacing w:after="120"/>
    </w:pPr>
  </w:style>
  <w:style w:type="paragraph" w:styleId="7">
    <w:name w:val="footer"/>
    <w:basedOn w:val="1"/>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customStyle="1" w:styleId="11">
    <w:name w:val="List Paragraph"/>
    <w:basedOn w:val="1"/>
    <w:unhideWhenUsed/>
    <w:qFormat/>
    <w:uiPriority w:val="34"/>
    <w:pPr>
      <w:ind w:firstLine="420" w:firstLineChars="200"/>
    </w:pPr>
    <w:rPr>
      <w:rFonts w:eastAsia="宋体"/>
      <w:szCs w:val="24"/>
    </w:rPr>
  </w:style>
  <w:style w:type="paragraph" w:customStyle="1" w:styleId="12">
    <w:name w:val="_Style 97"/>
    <w:basedOn w:val="1"/>
    <w:next w:val="11"/>
    <w:qFormat/>
    <w:uiPriority w:val="0"/>
    <w:pPr>
      <w:ind w:firstLine="420" w:firstLineChars="200"/>
    </w:pPr>
  </w:style>
  <w:style w:type="paragraph" w:customStyle="1" w:styleId="13">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
    <w:name w:val="列表段落1"/>
    <w:basedOn w:val="1"/>
    <w:unhideWhenUsed/>
    <w:qFormat/>
    <w:uiPriority w:val="34"/>
    <w:pPr>
      <w:ind w:firstLine="420" w:firstLineChars="200"/>
    </w:pPr>
    <w:rPr>
      <w:rFonts w:eastAsia="宋体"/>
    </w:rPr>
  </w:style>
  <w:style w:type="paragraph" w:customStyle="1" w:styleId="15">
    <w:name w:val="Body text|21"/>
    <w:basedOn w:val="1"/>
    <w:qFormat/>
    <w:uiPriority w:val="0"/>
    <w:pPr>
      <w:shd w:val="clear" w:color="auto" w:fill="FFFFFF"/>
      <w:spacing w:before="300" w:line="605" w:lineRule="exact"/>
      <w:jc w:val="distribute"/>
    </w:pPr>
    <w:rPr>
      <w:rFonts w:ascii="PMingLiU" w:hAnsi="PMingLiU" w:eastAsia="PMingLiU" w:cs="PMingLiU"/>
      <w:spacing w:val="30"/>
      <w:sz w:val="30"/>
      <w:szCs w:val="30"/>
    </w:rPr>
  </w:style>
  <w:style w:type="paragraph" w:customStyle="1" w:styleId="16">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character" w:customStyle="1" w:styleId="17">
    <w:name w:val="unnamed11"/>
    <w:qFormat/>
    <w:uiPriority w:val="0"/>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13845</Words>
  <Characters>14611</Characters>
  <Lines>0</Lines>
  <Paragraphs>0</Paragraphs>
  <TotalTime>3</TotalTime>
  <ScaleCrop>false</ScaleCrop>
  <LinksUpToDate>false</LinksUpToDate>
  <CharactersWithSpaces>15181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2022-06-08T00:58:00Z</dcterms:created>
  <dc:creator>LIN</dc:creator>
  <cp:lastModifiedBy>LIN</cp:lastModifiedBy>
  <dcterms:modified xsi:type="dcterms:W3CDTF">2023-07-24T01:41:35Z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83A5D0F788CA4BA8A968E511DEB9F141</vt:lpwstr>
  </property>
</Properties>
</file>