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2023年数字江门网络建设有限公司信息系统等级保护整改安全服务项目项目采购需求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3"/>
        <w:spacing w:line="360" w:lineRule="auto"/>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为进一步提升江门市信息安全工作水平，保障江门市相关信息系统信息安全在技术和管理上达到等级保护的要求，需对目前部分信息系统在差距测评中出现的问题进行整改，实现该部分系统达到等级保护的要求。</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p>
      <w:pPr>
        <w:ind w:firstLine="560" w:firstLineChars="200"/>
        <w:rPr>
          <w:rFonts w:hint="eastAsia" w:ascii="仿宋" w:hAnsi="仿宋" w:eastAsia="仿宋" w:cs="仿宋"/>
          <w:b w:val="0"/>
          <w:bCs w:val="0"/>
          <w:color w:val="auto"/>
          <w:kern w:val="2"/>
          <w:sz w:val="28"/>
          <w:szCs w:val="28"/>
          <w:highlight w:val="none"/>
          <w:lang w:val="zh-CN" w:eastAsia="zh-CN" w:bidi="ar-SA"/>
        </w:rPr>
      </w:pPr>
      <w:r>
        <w:rPr>
          <w:rFonts w:hint="eastAsia" w:ascii="仿宋" w:hAnsi="仿宋" w:eastAsia="仿宋" w:cs="仿宋"/>
          <w:b w:val="0"/>
          <w:bCs w:val="0"/>
          <w:color w:val="auto"/>
          <w:kern w:val="2"/>
          <w:sz w:val="28"/>
          <w:szCs w:val="28"/>
          <w:highlight w:val="none"/>
          <w:lang w:val="zh-CN" w:eastAsia="zh-CN" w:bidi="ar-SA"/>
        </w:rPr>
        <w:t>本项目服务商需提供以下服务内容：</w:t>
      </w:r>
    </w:p>
    <w:p>
      <w:pPr>
        <w:ind w:firstLine="560" w:firstLineChars="200"/>
        <w:rPr>
          <w:rFonts w:hint="eastAsia" w:ascii="仿宋" w:hAnsi="仿宋" w:eastAsia="仿宋" w:cs="仿宋"/>
          <w:b w:val="0"/>
          <w:bCs w:val="0"/>
          <w:color w:val="auto"/>
          <w:kern w:val="2"/>
          <w:sz w:val="28"/>
          <w:szCs w:val="28"/>
          <w:highlight w:val="none"/>
          <w:lang w:val="zh-CN" w:eastAsia="zh-CN" w:bidi="ar-SA"/>
        </w:rPr>
      </w:pPr>
      <w:r>
        <w:rPr>
          <w:rFonts w:hint="eastAsia" w:ascii="仿宋" w:hAnsi="仿宋" w:eastAsia="仿宋" w:cs="仿宋"/>
          <w:b w:val="0"/>
          <w:bCs w:val="0"/>
          <w:color w:val="auto"/>
          <w:kern w:val="2"/>
          <w:sz w:val="28"/>
          <w:szCs w:val="28"/>
          <w:highlight w:val="none"/>
          <w:lang w:val="zh-CN" w:eastAsia="zh-CN" w:bidi="ar-SA"/>
        </w:rPr>
        <w:t>根据采购人提供的《江门市电子政务外网系统-等保测评详细安全问题汇总》发现的问题，协助采购人完成技术要求（安全计算环境中关于身份鉴别的要求：1、接入交换机应对登录的用户进行身份标识和鉴别，身份标识具有唯一性，身份鉴别信息具有复杂度要求并定期更换；2、接入交换机应具有登录失败处理功能，应配置并启用结束会话、限制非法登录次数和当登录连接超时自动退出等相关措施等；3、接入交换机应授予管理用户所需的最小权限，实现管理用户的权限分离）的整改工作。为了应对以上测评整改需求，需要对当前大数据管理中心的4台接入交换机进行升级改造，由原来的锐捷S6000升级替换为华为CloudEngine 5882-48T4S数据中心交换机。确保使江门市电子政务外网系统符合《信息安全技术 网络安全等级保护基本要求》（GB/T 22239--2019）的三级要求，通过第三方测评机构的验收测评。</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自合同签订生效之日起90个工作日内。</w:t>
      </w:r>
    </w:p>
    <w:p>
      <w:pPr>
        <w:numPr>
          <w:ilvl w:val="0"/>
          <w:numId w:val="1"/>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项目主要运维内容</w:t>
      </w:r>
    </w:p>
    <w:p>
      <w:pPr>
        <w:pStyle w:val="14"/>
        <w:spacing w:line="360" w:lineRule="auto"/>
        <w:ind w:firstLine="560"/>
        <w:rPr>
          <w:rFonts w:ascii="仿宋" w:hAnsi="仿宋" w:eastAsia="仿宋" w:cs="仿宋"/>
          <w:sz w:val="28"/>
          <w:szCs w:val="28"/>
        </w:rPr>
      </w:pPr>
      <w:r>
        <w:rPr>
          <w:rFonts w:hint="eastAsia" w:ascii="仿宋" w:hAnsi="仿宋" w:eastAsia="仿宋" w:cs="仿宋"/>
          <w:sz w:val="28"/>
          <w:szCs w:val="28"/>
        </w:rPr>
        <w:t>整改的内容包括但不限于以下内容：</w:t>
      </w:r>
    </w:p>
    <w:p>
      <w:pPr>
        <w:pStyle w:val="14"/>
        <w:spacing w:line="360" w:lineRule="auto"/>
        <w:ind w:firstLine="560"/>
        <w:rPr>
          <w:rFonts w:ascii="仿宋" w:hAnsi="仿宋" w:eastAsia="仿宋" w:cs="仿宋"/>
          <w:sz w:val="28"/>
          <w:szCs w:val="28"/>
        </w:rPr>
      </w:pPr>
      <w:r>
        <w:rPr>
          <w:rFonts w:hint="eastAsia" w:ascii="仿宋" w:hAnsi="仿宋" w:eastAsia="仿宋" w:cs="仿宋"/>
          <w:sz w:val="28"/>
          <w:szCs w:val="28"/>
        </w:rPr>
        <w:t>安全计算环境评估整改：包括本次采购交换机的密码复杂度配置、设备上架上线、主要负载业务割接及管理账号权限合规性整改；</w:t>
      </w:r>
    </w:p>
    <w:p>
      <w:pPr>
        <w:pStyle w:val="14"/>
        <w:spacing w:line="360" w:lineRule="auto"/>
        <w:ind w:firstLine="560"/>
        <w:rPr>
          <w:rFonts w:ascii="仿宋" w:hAnsi="仿宋" w:eastAsia="仿宋" w:cs="仿宋"/>
          <w:sz w:val="28"/>
          <w:szCs w:val="28"/>
        </w:rPr>
      </w:pPr>
      <w:r>
        <w:rPr>
          <w:rFonts w:hint="eastAsia" w:ascii="仿宋" w:hAnsi="仿宋" w:eastAsia="仿宋" w:cs="仿宋"/>
          <w:sz w:val="28"/>
          <w:szCs w:val="28"/>
        </w:rPr>
        <w:t>需要整改的系统清单如下：</w:t>
      </w:r>
    </w:p>
    <w:tbl>
      <w:tblPr>
        <w:tblStyle w:val="9"/>
        <w:tblW w:w="5000" w:type="pct"/>
        <w:jc w:val="center"/>
        <w:tblLayout w:type="fixed"/>
        <w:tblCellMar>
          <w:top w:w="0" w:type="dxa"/>
          <w:left w:w="108" w:type="dxa"/>
          <w:bottom w:w="0" w:type="dxa"/>
          <w:right w:w="108" w:type="dxa"/>
        </w:tblCellMar>
      </w:tblPr>
      <w:tblGrid>
        <w:gridCol w:w="870"/>
        <w:gridCol w:w="1166"/>
        <w:gridCol w:w="1486"/>
        <w:gridCol w:w="961"/>
        <w:gridCol w:w="4039"/>
      </w:tblGrid>
      <w:tr>
        <w:trPr>
          <w:trHeight w:val="600"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序号</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信息系统名称</w:t>
            </w:r>
          </w:p>
        </w:tc>
        <w:tc>
          <w:tcPr>
            <w:tcW w:w="1446" w:type="dxa"/>
            <w:tcBorders>
              <w:top w:val="single" w:color="auto" w:sz="4" w:space="0"/>
              <w:left w:val="nil"/>
              <w:bottom w:val="single" w:color="auto" w:sz="4" w:space="0"/>
              <w:right w:val="single" w:color="auto" w:sz="4" w:space="0"/>
            </w:tcBorders>
            <w:vAlign w:val="center"/>
          </w:tcPr>
          <w:p>
            <w:pPr>
              <w:widowControl/>
              <w:jc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责任单位</w:t>
            </w:r>
          </w:p>
        </w:tc>
        <w:tc>
          <w:tcPr>
            <w:tcW w:w="935" w:type="dxa"/>
            <w:tcBorders>
              <w:top w:val="single" w:color="auto" w:sz="4" w:space="0"/>
              <w:left w:val="nil"/>
              <w:bottom w:val="single" w:color="auto" w:sz="4" w:space="0"/>
              <w:right w:val="single" w:color="auto" w:sz="4" w:space="0"/>
            </w:tcBorders>
            <w:vAlign w:val="center"/>
          </w:tcPr>
          <w:p>
            <w:pPr>
              <w:widowControl/>
              <w:jc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级别</w:t>
            </w:r>
          </w:p>
        </w:tc>
        <w:tc>
          <w:tcPr>
            <w:tcW w:w="3929" w:type="dxa"/>
            <w:tcBorders>
              <w:top w:val="single" w:color="auto" w:sz="4" w:space="0"/>
              <w:left w:val="nil"/>
              <w:bottom w:val="single" w:color="auto" w:sz="4" w:space="0"/>
              <w:right w:val="single" w:color="auto" w:sz="4" w:space="0"/>
            </w:tcBorders>
            <w:vAlign w:val="center"/>
          </w:tcPr>
          <w:p>
            <w:pPr>
              <w:widowControl/>
              <w:jc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整改内容</w:t>
            </w:r>
          </w:p>
        </w:tc>
      </w:tr>
      <w:tr>
        <w:tblPrEx>
          <w:tblCellMar>
            <w:top w:w="0" w:type="dxa"/>
            <w:left w:w="108" w:type="dxa"/>
            <w:bottom w:w="0" w:type="dxa"/>
            <w:right w:w="108" w:type="dxa"/>
          </w:tblCellMar>
        </w:tblPrEx>
        <w:trPr>
          <w:trHeight w:val="330" w:hRule="atLeast"/>
          <w:jc w:val="center"/>
        </w:trPr>
        <w:tc>
          <w:tcPr>
            <w:tcW w:w="846"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w:t>
            </w:r>
          </w:p>
        </w:tc>
        <w:tc>
          <w:tcPr>
            <w:tcW w:w="113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江门市电子政务外网系统</w:t>
            </w:r>
          </w:p>
        </w:tc>
        <w:tc>
          <w:tcPr>
            <w:tcW w:w="1446"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江门市政务服务数据管理局</w:t>
            </w:r>
          </w:p>
        </w:tc>
        <w:tc>
          <w:tcPr>
            <w:tcW w:w="935" w:type="dxa"/>
            <w:tcBorders>
              <w:top w:val="nil"/>
              <w:left w:val="nil"/>
              <w:bottom w:val="single" w:color="auto" w:sz="4" w:space="0"/>
              <w:right w:val="single" w:color="auto" w:sz="4" w:space="0"/>
            </w:tcBorders>
            <w:vAlign w:val="center"/>
          </w:tcPr>
          <w:p>
            <w:pPr>
              <w:widowControl/>
              <w:jc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三级</w:t>
            </w:r>
          </w:p>
        </w:tc>
        <w:tc>
          <w:tcPr>
            <w:tcW w:w="3929" w:type="dxa"/>
            <w:tcBorders>
              <w:top w:val="nil"/>
              <w:left w:val="nil"/>
              <w:bottom w:val="single" w:color="auto" w:sz="4" w:space="0"/>
              <w:right w:val="single" w:color="auto" w:sz="4" w:space="0"/>
            </w:tcBorders>
            <w:vAlign w:val="center"/>
          </w:tcPr>
          <w:p>
            <w:pPr>
              <w:widowControl/>
              <w:jc w:val="left"/>
              <w:textAlignment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根据测评公司提供的《江门市电子政务外网系统-等保测评详细安全问题汇总》，共有389个安全问题，其中涉及接入接入交换机安全性数量为67个；协助责任单位完成安全计算环境评估整改技术要求（共涉及4台接入交换机的密码复杂度配置、设备上架上线、交换机负载业务割接及管理账号权限合规性整改，以确保达到等保测评三级要求。）</w:t>
            </w:r>
          </w:p>
        </w:tc>
      </w:tr>
    </w:tbl>
    <w:p>
      <w:pPr>
        <w:pStyle w:val="14"/>
        <w:spacing w:line="360" w:lineRule="auto"/>
        <w:ind w:firstLine="560"/>
        <w:rPr>
          <w:rFonts w:ascii="仿宋" w:hAnsi="仿宋" w:eastAsia="仿宋" w:cs="仿宋"/>
          <w:sz w:val="28"/>
          <w:szCs w:val="28"/>
        </w:rPr>
      </w:pPr>
      <w:r>
        <w:rPr>
          <w:rFonts w:hint="eastAsia" w:ascii="仿宋" w:hAnsi="仿宋" w:eastAsia="仿宋" w:cs="仿宋"/>
          <w:sz w:val="28"/>
          <w:szCs w:val="28"/>
        </w:rPr>
        <w:t>计划采购设备清单如下：</w:t>
      </w:r>
    </w:p>
    <w:tbl>
      <w:tblPr>
        <w:tblStyle w:val="9"/>
        <w:tblW w:w="5000" w:type="pct"/>
        <w:jc w:val="center"/>
        <w:tblLayout w:type="autofit"/>
        <w:tblCellMar>
          <w:top w:w="0" w:type="dxa"/>
          <w:left w:w="108" w:type="dxa"/>
          <w:bottom w:w="0" w:type="dxa"/>
          <w:right w:w="108" w:type="dxa"/>
        </w:tblCellMar>
      </w:tblPr>
      <w:tblGrid>
        <w:gridCol w:w="866"/>
        <w:gridCol w:w="2226"/>
        <w:gridCol w:w="4022"/>
        <w:gridCol w:w="1408"/>
      </w:tblGrid>
      <w:tr>
        <w:tblPrEx>
          <w:tblCellMar>
            <w:top w:w="0" w:type="dxa"/>
            <w:left w:w="108" w:type="dxa"/>
            <w:bottom w:w="0" w:type="dxa"/>
            <w:right w:w="108" w:type="dxa"/>
          </w:tblCellMar>
        </w:tblPrEx>
        <w:trPr>
          <w:trHeight w:val="870" w:hRule="atLeast"/>
          <w:jc w:val="center"/>
        </w:trPr>
        <w:tc>
          <w:tcPr>
            <w:tcW w:w="8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序号</w:t>
            </w:r>
          </w:p>
        </w:tc>
        <w:tc>
          <w:tcPr>
            <w:tcW w:w="2137" w:type="dxa"/>
            <w:tcBorders>
              <w:top w:val="single" w:color="auto" w:sz="4" w:space="0"/>
              <w:left w:val="nil"/>
              <w:bottom w:val="single" w:color="auto" w:sz="4" w:space="0"/>
              <w:right w:val="single" w:color="auto" w:sz="4" w:space="0"/>
            </w:tcBorders>
            <w:shd w:val="clear" w:color="auto" w:fill="auto"/>
            <w:vAlign w:val="center"/>
          </w:tcPr>
          <w:p>
            <w:pPr>
              <w:widowControl/>
              <w:jc w:val="center"/>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型号</w:t>
            </w:r>
          </w:p>
        </w:tc>
        <w:tc>
          <w:tcPr>
            <w:tcW w:w="3931" w:type="dxa"/>
            <w:tcBorders>
              <w:top w:val="single" w:color="auto" w:sz="4" w:space="0"/>
              <w:left w:val="nil"/>
              <w:bottom w:val="single" w:color="auto" w:sz="4" w:space="0"/>
              <w:right w:val="single" w:color="auto" w:sz="4" w:space="0"/>
            </w:tcBorders>
            <w:shd w:val="clear" w:color="auto" w:fill="auto"/>
            <w:vAlign w:val="center"/>
          </w:tcPr>
          <w:p>
            <w:pPr>
              <w:widowControl/>
              <w:jc w:val="center"/>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配置说明</w:t>
            </w:r>
          </w:p>
        </w:tc>
        <w:tc>
          <w:tcPr>
            <w:tcW w:w="1376" w:type="dxa"/>
            <w:tcBorders>
              <w:top w:val="single" w:color="auto" w:sz="4" w:space="0"/>
              <w:left w:val="nil"/>
              <w:bottom w:val="single" w:color="auto" w:sz="4" w:space="0"/>
              <w:right w:val="single" w:color="auto" w:sz="4" w:space="0"/>
            </w:tcBorders>
            <w:shd w:val="clear" w:color="auto" w:fill="auto"/>
            <w:vAlign w:val="center"/>
          </w:tcPr>
          <w:p>
            <w:pPr>
              <w:widowControl/>
              <w:jc w:val="center"/>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数量</w:t>
            </w:r>
          </w:p>
        </w:tc>
      </w:tr>
      <w:tr>
        <w:tblPrEx>
          <w:tblCellMar>
            <w:top w:w="0" w:type="dxa"/>
            <w:left w:w="108" w:type="dxa"/>
            <w:bottom w:w="0" w:type="dxa"/>
            <w:right w:w="108" w:type="dxa"/>
          </w:tblCellMar>
        </w:tblPrEx>
        <w:trPr>
          <w:trHeight w:val="870" w:hRule="atLeast"/>
          <w:jc w:val="center"/>
        </w:trPr>
        <w:tc>
          <w:tcPr>
            <w:tcW w:w="8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w:t>
            </w:r>
          </w:p>
        </w:tc>
        <w:tc>
          <w:tcPr>
            <w:tcW w:w="2137" w:type="dxa"/>
            <w:tcBorders>
              <w:top w:val="single" w:color="auto" w:sz="4" w:space="0"/>
              <w:left w:val="nil"/>
              <w:bottom w:val="single" w:color="auto" w:sz="4" w:space="0"/>
              <w:right w:val="single" w:color="auto" w:sz="4" w:space="0"/>
            </w:tcBorders>
            <w:shd w:val="clear" w:color="auto" w:fill="auto"/>
            <w:vAlign w:val="center"/>
          </w:tcPr>
          <w:p>
            <w:pPr>
              <w:widowControl/>
              <w:jc w:val="left"/>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华为CE5882-48T4S-B</w:t>
            </w:r>
          </w:p>
        </w:tc>
        <w:tc>
          <w:tcPr>
            <w:tcW w:w="3931" w:type="dxa"/>
            <w:tcBorders>
              <w:top w:val="single" w:color="auto" w:sz="4" w:space="0"/>
              <w:left w:val="nil"/>
              <w:bottom w:val="single" w:color="auto" w:sz="4" w:space="0"/>
              <w:right w:val="single" w:color="auto" w:sz="4" w:space="0"/>
            </w:tcBorders>
            <w:shd w:val="clear" w:color="auto" w:fill="auto"/>
            <w:vAlign w:val="center"/>
          </w:tcPr>
          <w:p>
            <w:pPr>
              <w:widowControl/>
              <w:jc w:val="left"/>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CE5882-48T4S 交换机(48*GE电, 4*10GE SFP+, 2*交流电源, 2*风机盒, 端口侧进风)</w:t>
            </w:r>
          </w:p>
        </w:tc>
        <w:tc>
          <w:tcPr>
            <w:tcW w:w="1376" w:type="dxa"/>
            <w:tcBorders>
              <w:top w:val="single" w:color="auto" w:sz="4" w:space="0"/>
              <w:left w:val="nil"/>
              <w:bottom w:val="single" w:color="auto" w:sz="4" w:space="0"/>
              <w:right w:val="single" w:color="auto" w:sz="4" w:space="0"/>
            </w:tcBorders>
            <w:shd w:val="clear" w:color="auto" w:fill="auto"/>
            <w:vAlign w:val="center"/>
          </w:tcPr>
          <w:p>
            <w:pPr>
              <w:widowControl/>
              <w:jc w:val="center"/>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4套</w:t>
            </w:r>
          </w:p>
        </w:tc>
      </w:tr>
      <w:tr>
        <w:tblPrEx>
          <w:tblCellMar>
            <w:top w:w="0" w:type="dxa"/>
            <w:left w:w="108" w:type="dxa"/>
            <w:bottom w:w="0" w:type="dxa"/>
            <w:right w:w="108" w:type="dxa"/>
          </w:tblCellMar>
        </w:tblPrEx>
        <w:trPr>
          <w:trHeight w:val="1440" w:hRule="atLeast"/>
          <w:jc w:val="center"/>
        </w:trPr>
        <w:tc>
          <w:tcPr>
            <w:tcW w:w="846" w:type="dxa"/>
            <w:tcBorders>
              <w:top w:val="nil"/>
              <w:left w:val="single" w:color="auto" w:sz="4" w:space="0"/>
              <w:bottom w:val="single" w:color="auto" w:sz="4" w:space="0"/>
              <w:right w:val="single" w:color="auto" w:sz="4" w:space="0"/>
            </w:tcBorders>
            <w:shd w:val="clear" w:color="auto" w:fill="auto"/>
            <w:noWrap/>
            <w:vAlign w:val="center"/>
          </w:tcPr>
          <w:p>
            <w:pPr>
              <w:widowControl/>
              <w:jc w:val="center"/>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p>
        </w:tc>
        <w:tc>
          <w:tcPr>
            <w:tcW w:w="2137" w:type="dxa"/>
            <w:tcBorders>
              <w:top w:val="nil"/>
              <w:left w:val="nil"/>
              <w:bottom w:val="single" w:color="auto" w:sz="4" w:space="0"/>
              <w:right w:val="single" w:color="auto" w:sz="4" w:space="0"/>
            </w:tcBorders>
            <w:shd w:val="clear" w:color="auto" w:fill="auto"/>
            <w:vAlign w:val="center"/>
          </w:tcPr>
          <w:p>
            <w:pPr>
              <w:widowControl/>
              <w:jc w:val="left"/>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华为Hi-Care基础服务基本36月</w:t>
            </w:r>
          </w:p>
        </w:tc>
        <w:tc>
          <w:tcPr>
            <w:tcW w:w="3931" w:type="dxa"/>
            <w:tcBorders>
              <w:top w:val="nil"/>
              <w:left w:val="nil"/>
              <w:bottom w:val="single" w:color="auto" w:sz="4" w:space="0"/>
              <w:right w:val="single" w:color="auto" w:sz="4" w:space="0"/>
            </w:tcBorders>
            <w:shd w:val="clear" w:color="auto" w:fill="auto"/>
            <w:vAlign w:val="center"/>
          </w:tcPr>
          <w:p>
            <w:pPr>
              <w:widowControl/>
              <w:jc w:val="left"/>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CE5882-48T4S 交换机(48*GE电, 4*10GE SFP+, 2*交流电源, 2*风机盒, 端口侧进风)_Hi-Care基础服务基本 CE5882-48T4S_36月</w:t>
            </w:r>
          </w:p>
        </w:tc>
        <w:tc>
          <w:tcPr>
            <w:tcW w:w="1376" w:type="dxa"/>
            <w:tcBorders>
              <w:top w:val="nil"/>
              <w:left w:val="nil"/>
              <w:bottom w:val="single" w:color="auto" w:sz="4" w:space="0"/>
              <w:right w:val="single" w:color="auto" w:sz="4" w:space="0"/>
            </w:tcBorders>
            <w:shd w:val="clear" w:color="auto" w:fill="auto"/>
            <w:vAlign w:val="center"/>
          </w:tcPr>
          <w:p>
            <w:pPr>
              <w:widowControl/>
              <w:jc w:val="center"/>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4套</w:t>
            </w:r>
          </w:p>
        </w:tc>
      </w:tr>
    </w:tbl>
    <w:p>
      <w:pPr>
        <w:pStyle w:val="8"/>
        <w:keepNext w:val="0"/>
        <w:keepLines w:val="0"/>
        <w:pageBreakBefore w:val="0"/>
        <w:widowControl w:val="0"/>
        <w:kinsoku/>
        <w:wordWrap/>
        <w:overflowPunct/>
        <w:topLinePunct w:val="0"/>
        <w:autoSpaceDE/>
        <w:autoSpaceDN/>
        <w:bidi w:val="0"/>
        <w:adjustRightInd/>
        <w:snapToGrid/>
        <w:spacing w:after="0"/>
        <w:ind w:left="0" w:leftChars="0" w:firstLine="420" w:firstLineChars="200"/>
        <w:textAlignment w:val="auto"/>
        <w:rPr>
          <w:rFonts w:hint="eastAsia"/>
          <w:lang w:val="en-US" w:eastAsia="zh-CN"/>
        </w:rPr>
      </w:pP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五、售后/运维要求</w:t>
      </w:r>
    </w:p>
    <w:p>
      <w:pPr>
        <w:pStyle w:val="11"/>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（一）项目服务有效期：</w:t>
      </w:r>
    </w:p>
    <w:p>
      <w:pPr>
        <w:pStyle w:val="11"/>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本项目服务有效期为：自合同签订生效之日起90个工作日内完成系统整改。</w:t>
      </w:r>
    </w:p>
    <w:p>
      <w:pPr>
        <w:pStyle w:val="11"/>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（二）其他服务要求：</w:t>
      </w:r>
    </w:p>
    <w:p>
      <w:pPr>
        <w:pStyle w:val="11"/>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供应人必须根据信息安全等级保护管理办法和采购人要求，按第三方测评机构提供的等保测评详细安全问题汇总进行整改，并提供信息安全等级保护整改报告。包括以下1份整改报告：《江门市电子政务外网系统-等保测评整改报告》。</w:t>
      </w:r>
    </w:p>
    <w:p>
      <w:pPr>
        <w:pStyle w:val="11"/>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（2）供应人需针对采购人实际情况，编制项目开展、实施、计划及保障等方案，并在报价时一并提交给采购人。</w:t>
      </w:r>
    </w:p>
    <w:p>
      <w:pPr>
        <w:pStyle w:val="11"/>
        <w:spacing w:line="276" w:lineRule="auto"/>
        <w:ind w:firstLine="64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（3）供应人需开展符合国家规定的信息安全等级保护整改工作，协助第三方测评机构出具符合市级公安机关要求的信息安全等级测评报告。</w:t>
      </w:r>
    </w:p>
    <w:p>
      <w:pPr>
        <w:spacing w:line="360" w:lineRule="auto"/>
        <w:rPr>
          <w:rFonts w:hint="default" w:ascii="仿宋" w:hAnsi="仿宋" w:eastAsia="黑体" w:cs="仿宋"/>
          <w:color w:val="auto"/>
          <w:sz w:val="32"/>
          <w:szCs w:val="32"/>
          <w:highlight w:val="none"/>
          <w:lang w:val="en-US" w:eastAsia="zh-CN"/>
        </w:rPr>
      </w:pPr>
      <w:r>
        <w:rPr>
          <w:rFonts w:hint="eastAsia" w:ascii="黑体" w:hAnsi="黑体" w:eastAsia="黑体" w:cs="黑体"/>
          <w:b/>
          <w:color w:val="auto"/>
          <w:sz w:val="28"/>
          <w:szCs w:val="28"/>
          <w:highlight w:val="none"/>
          <w:lang w:eastAsia="zh-CN"/>
        </w:rPr>
        <w:t>六</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项目预算</w:t>
      </w:r>
    </w:p>
    <w:p>
      <w:pPr>
        <w:pStyle w:val="11"/>
        <w:spacing w:line="276" w:lineRule="auto"/>
        <w:ind w:firstLine="640"/>
        <w:rPr>
          <w:rFonts w:hint="default" w:ascii="仿宋" w:hAnsi="仿宋" w:eastAsia="仿宋" w:cs="仿宋"/>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（一）本项目的采购预算为人民币10.2万元（含税），中选供应商需根据实际成交价提供相应税率的增值税专用发票。</w:t>
      </w:r>
    </w:p>
    <w:p>
      <w:pPr>
        <w:pStyle w:val="11"/>
        <w:spacing w:line="276" w:lineRule="auto"/>
        <w:ind w:firstLine="640"/>
        <w:rPr>
          <w:rFonts w:hint="default" w:ascii="仿宋" w:hAnsi="仿宋" w:eastAsia="仿宋" w:cs="仿宋"/>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（二）支付方式：</w:t>
      </w:r>
    </w:p>
    <w:p>
      <w:pPr>
        <w:pStyle w:val="11"/>
        <w:spacing w:line="276" w:lineRule="auto"/>
        <w:ind w:firstLine="640"/>
        <w:rPr>
          <w:rFonts w:hint="default" w:ascii="仿宋" w:hAnsi="仿宋" w:eastAsia="仿宋" w:cs="仿宋"/>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1.首付款：项目合同签订生效且中选供应商向数字江门网络建设有限公司提供符国家财务规定的发票后，数字江门网络建设有限公司办理付款手续，支付本项目总额40%作为首期款；</w:t>
      </w:r>
    </w:p>
    <w:p>
      <w:pPr>
        <w:pStyle w:val="11"/>
        <w:spacing w:line="276" w:lineRule="auto"/>
        <w:ind w:firstLine="640"/>
        <w:rPr>
          <w:rFonts w:hint="default" w:ascii="仿宋" w:hAnsi="仿宋" w:eastAsia="仿宋" w:cs="仿宋"/>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2.进度款：本项目所购买的设备到货，经数字江门网络建设有限公司和使用单位签收确认后，中选供应商可向数字江门网络建设有限公司提供符合国家财务规定的发票办理申请付款手续，支付本项目总额50%作为进度款；</w:t>
      </w:r>
    </w:p>
    <w:p>
      <w:pPr>
        <w:pStyle w:val="11"/>
        <w:spacing w:line="276" w:lineRule="auto"/>
        <w:ind w:firstLine="640"/>
        <w:rPr>
          <w:rFonts w:hint="default" w:ascii="仿宋" w:hAnsi="仿宋" w:eastAsia="仿宋" w:cs="仿宋"/>
          <w:b w:val="0"/>
          <w:bCs w:val="0"/>
          <w:color w:val="auto"/>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3.尾款：本项目涉及的江门市电子政务外网系统等保整改完成并验收合格后，数字江门网络建设有限公司收到中选供应商提供的发票20个工作日内，支付本项目剩余款项。</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cs="Times New Roman" w:hAnsiTheme="minorEastAsia"/>
          <w:kern w:val="0"/>
          <w:sz w:val="28"/>
          <w:szCs w:val="28"/>
        </w:rPr>
        <w:t>或其他符合法规的证明性材料</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pStyle w:val="11"/>
        <w:spacing w:line="276" w:lineRule="auto"/>
        <w:ind w:left="0" w:leftChars="0" w:firstLine="0" w:firstLineChars="0"/>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、文件盖章及制作格式</w:t>
      </w:r>
    </w:p>
    <w:p>
      <w:pPr>
        <w:pStyle w:val="14"/>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4"/>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十、确定供应商</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5"/>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8"/>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eastAsia" w:ascii="仿宋" w:hAnsi="仿宋" w:eastAsia="仿宋" w:cs="仿宋"/>
          <w:color w:val="auto"/>
          <w:spacing w:val="0"/>
          <w:kern w:val="0"/>
          <w:sz w:val="28"/>
          <w:szCs w:val="28"/>
          <w:highlight w:val="none"/>
          <w:lang w:val="zh-CN" w:eastAsia="zh-CN" w:bidi="ar-SA"/>
        </w:rPr>
      </w:pPr>
      <w:r>
        <w:rPr>
          <w:rFonts w:hint="eastAsia" w:ascii="仿宋" w:hAnsi="仿宋" w:eastAsia="仿宋" w:cs="仿宋"/>
          <w:color w:val="auto"/>
          <w:spacing w:val="0"/>
          <w:kern w:val="0"/>
          <w:sz w:val="28"/>
          <w:szCs w:val="28"/>
          <w:highlight w:val="none"/>
          <w:lang w:val="en-US" w:eastAsia="zh-CN" w:bidi="ar-SA"/>
        </w:rPr>
        <w:t>2023年4月18日</w:t>
      </w:r>
    </w:p>
    <w:p>
      <w:pPr>
        <w:pStyle w:val="15"/>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8"/>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8"/>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9"/>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JYCG2023011</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pStyle w:val="18"/>
              <w:ind w:firstLine="0" w:firstLineChars="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2023年数字江门网络建设有限公司信息系统等级保护整改安全服务项目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9"/>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9"/>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8"/>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color w:val="auto"/>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1．我方已仔细</w:t>
      </w:r>
      <w:r>
        <w:rPr>
          <w:rFonts w:hint="eastAsia" w:ascii="宋体" w:hAnsi="宋体" w:eastAsia="宋体" w:cs="宋体"/>
          <w:b w:val="0"/>
          <w:bCs w:val="0"/>
          <w:color w:val="auto"/>
          <w:highlight w:val="none"/>
        </w:rPr>
        <w:t>研</w:t>
      </w:r>
      <w:r>
        <w:rPr>
          <w:rFonts w:hint="eastAsia" w:asciiTheme="minorEastAsia" w:hAnsiTheme="minorEastAsia" w:eastAsiaTheme="minorEastAsia" w:cstheme="minorEastAsia"/>
          <w:color w:val="auto"/>
          <w:highlight w:val="none"/>
        </w:rPr>
        <w:t>究了</w:t>
      </w:r>
      <w:r>
        <w:rPr>
          <w:rFonts w:hint="eastAsia" w:asciiTheme="minorEastAsia" w:hAnsiTheme="minorEastAsia" w:eastAsiaTheme="minorEastAsia" w:cstheme="minorEastAsia"/>
          <w:color w:val="auto"/>
          <w:highlight w:val="none"/>
          <w:lang w:val="en-US" w:eastAsia="zh-CN"/>
        </w:rPr>
        <w:t>2023年数字江门网络建设有限公司信息系统等级保护整改安全</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服务项目采购</w:t>
      </w:r>
      <w:r>
        <w:rPr>
          <w:rFonts w:hint="eastAsia" w:asciiTheme="minorEastAsia" w:hAnsiTheme="minorEastAsia" w:eastAsiaTheme="minorEastAsia" w:cstheme="minorEastAsia"/>
          <w:color w:val="auto"/>
          <w:highlight w:val="none"/>
        </w:rPr>
        <w:t>文件的全部内容，现提交响应文件。包括以下内容：</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8"/>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8"/>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jc w:val="right"/>
        <w:textAlignment w:val="auto"/>
        <w:rPr>
          <w:rFonts w:hint="eastAsia" w:asciiTheme="minorEastAsia" w:hAnsiTheme="minorEastAsia" w:eastAsiaTheme="minorEastAsia" w:cstheme="minorEastAsia"/>
          <w:color w:val="auto"/>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kern w:val="2"/>
          <w:sz w:val="28"/>
          <w:szCs w:val="28"/>
          <w:highlight w:val="none"/>
          <w:u w:val="double"/>
          <w:lang w:val="en-US" w:eastAsia="zh-CN" w:bidi="ar-SA"/>
        </w:rPr>
        <w:t>七</w:t>
      </w:r>
      <w:r>
        <w:rPr>
          <w:rFonts w:hint="eastAsia" w:ascii="仿宋" w:hAnsi="仿宋" w:eastAsia="仿宋" w:cs="仿宋"/>
          <w:b/>
          <w:bCs/>
          <w:i/>
          <w:iCs/>
          <w:color w:val="auto"/>
          <w:sz w:val="28"/>
          <w:szCs w:val="28"/>
          <w:highlight w:val="none"/>
          <w:u w:val="double"/>
        </w:rPr>
        <w:t>条供应商资格条件</w:t>
      </w:r>
    </w:p>
    <w:p>
      <w:pPr>
        <w:pStyle w:val="8"/>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8"/>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8"/>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九</w:t>
      </w:r>
      <w:r>
        <w:rPr>
          <w:rFonts w:hint="eastAsia" w:ascii="仿宋" w:hAnsi="仿宋" w:eastAsia="仿宋" w:cs="仿宋"/>
          <w:b/>
          <w:bCs/>
          <w:i/>
          <w:iCs/>
          <w:color w:val="auto"/>
          <w:sz w:val="28"/>
          <w:szCs w:val="28"/>
          <w:highlight w:val="none"/>
          <w:u w:val="double"/>
        </w:rPr>
        <w:t>条采购需求技术方案</w:t>
      </w:r>
    </w:p>
    <w:p>
      <w:pPr>
        <w:pStyle w:val="8"/>
        <w:ind w:left="420"/>
        <w:rPr>
          <w:rFonts w:ascii="仿宋" w:hAnsi="仿宋" w:eastAsia="仿宋" w:cs="仿宋"/>
          <w:b/>
          <w:bCs/>
          <w:i/>
          <w:iCs/>
          <w:color w:val="auto"/>
          <w:sz w:val="28"/>
          <w:szCs w:val="28"/>
          <w:highlight w:val="none"/>
          <w:u w:val="double"/>
        </w:rPr>
      </w:pPr>
    </w:p>
    <w:p>
      <w:pPr>
        <w:rPr>
          <w:color w:val="auto"/>
          <w:highlight w:val="none"/>
        </w:rPr>
      </w:pPr>
    </w:p>
    <w:p>
      <w:pPr>
        <w:pStyle w:val="8"/>
        <w:ind w:left="420"/>
        <w:rPr>
          <w:color w:val="auto"/>
          <w:highlight w:val="none"/>
        </w:rPr>
      </w:pPr>
    </w:p>
    <w:p>
      <w:pPr>
        <w:rPr>
          <w:color w:val="auto"/>
          <w:highlight w:val="none"/>
        </w:rPr>
      </w:pPr>
    </w:p>
    <w:p>
      <w:pPr>
        <w:pStyle w:val="8"/>
        <w:ind w:left="420"/>
        <w:rPr>
          <w:color w:val="auto"/>
          <w:highlight w:val="none"/>
        </w:rPr>
      </w:pPr>
    </w:p>
    <w:p>
      <w:pPr>
        <w:rPr>
          <w:color w:val="auto"/>
          <w:highlight w:val="none"/>
        </w:rPr>
      </w:pPr>
    </w:p>
    <w:p>
      <w:pPr>
        <w:pStyle w:val="8"/>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6"/>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val="en-US" w:eastAsia="zh-CN"/>
        </w:rPr>
        <w:t>2023年数字江门网络建设有限公司信息系统等级保护整改安全服务项目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JYCG2023011</w:t>
      </w:r>
    </w:p>
    <w:p>
      <w:pPr>
        <w:pStyle w:val="5"/>
        <w:spacing w:after="156" w:afterLines="50" w:line="400" w:lineRule="exact"/>
        <w:ind w:firstLine="210" w:firstLineChars="100"/>
        <w:rPr>
          <w:rFonts w:hint="eastAsia" w:ascii="宋体" w:hAnsi="宋体" w:eastAsia="宋体" w:cs="宋体"/>
          <w:color w:val="auto"/>
          <w:kern w:val="0"/>
          <w:sz w:val="21"/>
          <w:szCs w:val="21"/>
          <w:highlight w:val="none"/>
          <w:lang w:val="en-US" w:eastAsia="zh-CN"/>
        </w:rPr>
      </w:pPr>
    </w:p>
    <w:tbl>
      <w:tblPr>
        <w:tblStyle w:val="9"/>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含税总价（元</w:t>
            </w:r>
            <w:r>
              <w:rPr>
                <w:rFonts w:hint="eastAsia" w:ascii="宋体" w:hAnsi="宋体" w:eastAsia="宋体" w:cs="宋体"/>
                <w:color w:val="auto"/>
                <w:kern w:val="0"/>
                <w:sz w:val="21"/>
                <w:szCs w:val="21"/>
                <w:highlight w:val="none"/>
                <w:lang w:val="en-US" w:eastAsia="zh-CN"/>
              </w:rPr>
              <w:t>人民币</w:t>
            </w:r>
            <w:r>
              <w:rPr>
                <w:rFonts w:hint="eastAsia" w:ascii="宋体" w:hAnsi="宋体" w:eastAsia="宋体" w:cs="宋体"/>
                <w:color w:val="auto"/>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注明</w:t>
      </w:r>
    </w:p>
    <w:p>
      <w:pPr>
        <w:pStyle w:val="5"/>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10.2</w:t>
      </w:r>
      <w:r>
        <w:rPr>
          <w:rFonts w:hint="eastAsia" w:ascii="宋体" w:hAnsi="宋体"/>
          <w:b/>
          <w:bCs/>
          <w:sz w:val="21"/>
          <w:szCs w:val="21"/>
          <w:lang w:val="en-US" w:eastAsia="zh-CN"/>
        </w:rPr>
        <w:t>万元，否则作否决评审处理。</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5"/>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5"/>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r>
        <w:rPr>
          <w:rFonts w:hint="eastAsia" w:ascii="宋体" w:hAnsi="宋体"/>
          <w:sz w:val="21"/>
          <w:szCs w:val="21"/>
          <w:lang w:eastAsia="zh-CN"/>
        </w:rPr>
        <w:t>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5"/>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jc w:val="right"/>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6"/>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kern w:val="2"/>
          <w:sz w:val="52"/>
          <w:szCs w:val="52"/>
          <w:highlight w:val="none"/>
          <w:lang w:val="en-US" w:eastAsia="zh-CN" w:bidi="ar-SA"/>
        </w:rPr>
      </w:pPr>
      <w:r>
        <w:rPr>
          <w:rFonts w:hint="eastAsia" w:ascii="黑体" w:hAnsi="黑体" w:eastAsia="黑体" w:cs="黑体"/>
          <w:b/>
          <w:color w:val="auto"/>
          <w:kern w:val="2"/>
          <w:sz w:val="52"/>
          <w:szCs w:val="52"/>
          <w:highlight w:val="none"/>
          <w:lang w:val="en-US" w:eastAsia="zh-CN" w:bidi="ar-SA"/>
        </w:rPr>
        <w:t>2023年数字江门网络建设有限公司信息系统等级保护整改安全</w:t>
      </w: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kern w:val="2"/>
          <w:sz w:val="52"/>
          <w:szCs w:val="52"/>
          <w:highlight w:val="none"/>
          <w:lang w:val="en-US" w:eastAsia="zh-CN" w:bidi="ar-SA"/>
        </w:rPr>
        <w:t>服务项目</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default" w:ascii="黑体" w:hAnsi="黑体" w:eastAsia="黑体" w:cs="黑体"/>
          <w:b/>
          <w:color w:val="auto"/>
          <w:sz w:val="52"/>
          <w:szCs w:val="52"/>
          <w:highlight w:val="none"/>
          <w:lang w:val="en-US" w:eastAsia="zh-CN"/>
        </w:rPr>
        <w:t>采购合同</w:t>
      </w:r>
    </w:p>
    <w:p>
      <w:pPr>
        <w:widowControl/>
        <w:spacing w:line="360" w:lineRule="auto"/>
        <w:jc w:val="left"/>
        <w:rPr>
          <w:color w:val="auto"/>
          <w:highlight w:val="none"/>
        </w:rPr>
      </w:pPr>
      <w:r>
        <w:rPr>
          <w:color w:val="auto"/>
          <w:highlight w:val="none"/>
        </w:rPr>
        <w:br w:type="page"/>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Style w:val="17"/>
          <w:rFonts w:hint="eastAsia" w:ascii="宋体" w:hAnsi="宋体" w:eastAsia="宋体" w:cs="宋体"/>
          <w:sz w:val="24"/>
          <w:szCs w:val="24"/>
          <w:highlight w:val="none"/>
        </w:rPr>
      </w:pPr>
      <w:r>
        <w:rPr>
          <w:rStyle w:val="17"/>
          <w:rFonts w:hint="eastAsia" w:ascii="宋体" w:hAnsi="宋体" w:eastAsia="宋体" w:cs="宋体"/>
          <w:sz w:val="24"/>
          <w:szCs w:val="24"/>
          <w:highlight w:val="none"/>
        </w:rPr>
        <w:t>甲方:数字江门网络建设有限公司</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Style w:val="17"/>
          <w:rFonts w:hint="eastAsia" w:ascii="宋体" w:hAnsi="宋体" w:eastAsia="宋体" w:cs="宋体"/>
          <w:sz w:val="24"/>
          <w:szCs w:val="24"/>
          <w:highlight w:val="none"/>
        </w:rPr>
      </w:pPr>
      <w:r>
        <w:rPr>
          <w:rStyle w:val="17"/>
          <w:rFonts w:hint="eastAsia" w:ascii="宋体" w:hAnsi="宋体" w:eastAsia="宋体" w:cs="宋体"/>
          <w:sz w:val="24"/>
          <w:szCs w:val="24"/>
          <w:highlight w:val="none"/>
        </w:rPr>
        <w:t>乙方:</w:t>
      </w:r>
    </w:p>
    <w:p>
      <w:pPr>
        <w:autoSpaceDE w:val="0"/>
        <w:autoSpaceDN w:val="0"/>
        <w:adjustRightInd w:val="0"/>
        <w:spacing w:line="360" w:lineRule="auto"/>
        <w:ind w:firstLine="480" w:firstLineChars="200"/>
        <w:jc w:val="left"/>
        <w:rPr>
          <w:rFonts w:hint="eastAsia" w:ascii="宋体" w:hAnsi="宋体" w:eastAsia="宋体" w:cs="宋体"/>
          <w:kern w:val="0"/>
          <w:sz w:val="24"/>
          <w:szCs w:val="24"/>
        </w:rPr>
      </w:pP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甲乙双方根据《中华人民共和国民法典</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中华人民共和国政府采购法》等有关法律法规的规定，按照</w:t>
      </w:r>
      <w:r>
        <w:rPr>
          <w:rFonts w:hint="eastAsia" w:ascii="宋体" w:hAnsi="宋体" w:eastAsia="宋体" w:cs="宋体"/>
          <w:kern w:val="0"/>
          <w:sz w:val="24"/>
          <w:szCs w:val="24"/>
          <w:lang w:val="en-US" w:eastAsia="zh-CN"/>
        </w:rPr>
        <w:t>XXX</w:t>
      </w:r>
      <w:r>
        <w:rPr>
          <w:rFonts w:hint="eastAsia" w:ascii="宋体" w:hAnsi="宋体" w:eastAsia="宋体" w:cs="宋体"/>
          <w:kern w:val="0"/>
          <w:sz w:val="24"/>
          <w:szCs w:val="24"/>
        </w:rPr>
        <w:t>年X月X日</w:t>
      </w:r>
      <w:r>
        <w:rPr>
          <w:rFonts w:hint="eastAsia" w:ascii="宋体" w:hAnsi="宋体" w:eastAsia="宋体" w:cs="宋体"/>
          <w:kern w:val="0"/>
          <w:sz w:val="24"/>
          <w:szCs w:val="24"/>
          <w:u w:val="single"/>
        </w:rPr>
        <w:t>2023年数字江门网络建设有限公司信息系统等级保护整改安全服务项目</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项目</w:t>
      </w:r>
      <w:r>
        <w:rPr>
          <w:rFonts w:hint="eastAsia" w:ascii="宋体" w:hAnsi="宋体" w:eastAsia="宋体" w:cs="宋体"/>
          <w:kern w:val="0"/>
          <w:sz w:val="24"/>
          <w:szCs w:val="24"/>
        </w:rPr>
        <w:t>编号：XXXXXXXXX）的</w:t>
      </w:r>
      <w:r>
        <w:rPr>
          <w:rFonts w:hint="eastAsia" w:ascii="宋体" w:hAnsi="宋体" w:eastAsia="宋体" w:cs="宋体"/>
          <w:kern w:val="0"/>
          <w:sz w:val="24"/>
          <w:szCs w:val="24"/>
          <w:lang w:eastAsia="zh-CN"/>
        </w:rPr>
        <w:t>采购</w:t>
      </w:r>
      <w:r>
        <w:rPr>
          <w:rFonts w:hint="eastAsia" w:ascii="宋体" w:hAnsi="宋体" w:eastAsia="宋体" w:cs="宋体"/>
          <w:kern w:val="0"/>
          <w:sz w:val="24"/>
          <w:szCs w:val="24"/>
        </w:rPr>
        <w:t>结果、</w:t>
      </w:r>
      <w:r>
        <w:rPr>
          <w:rFonts w:hint="eastAsia" w:ascii="宋体" w:hAnsi="宋体" w:eastAsia="宋体" w:cs="宋体"/>
          <w:kern w:val="0"/>
          <w:sz w:val="24"/>
          <w:szCs w:val="24"/>
          <w:lang w:eastAsia="zh-CN"/>
        </w:rPr>
        <w:t>采购</w:t>
      </w:r>
      <w:r>
        <w:rPr>
          <w:rFonts w:hint="eastAsia" w:ascii="宋体" w:hAnsi="宋体" w:eastAsia="宋体" w:cs="宋体"/>
          <w:kern w:val="0"/>
          <w:sz w:val="24"/>
          <w:szCs w:val="24"/>
        </w:rPr>
        <w:t>文件、乙方的</w:t>
      </w:r>
      <w:r>
        <w:rPr>
          <w:rFonts w:hint="eastAsia" w:ascii="宋体" w:hAnsi="宋体" w:eastAsia="宋体" w:cs="宋体"/>
          <w:kern w:val="0"/>
          <w:sz w:val="24"/>
          <w:szCs w:val="24"/>
          <w:lang w:eastAsia="zh-CN"/>
        </w:rPr>
        <w:t>响应</w:t>
      </w:r>
      <w:r>
        <w:rPr>
          <w:rFonts w:hint="eastAsia" w:ascii="宋体" w:hAnsi="宋体" w:eastAsia="宋体" w:cs="宋体"/>
          <w:kern w:val="0"/>
          <w:sz w:val="24"/>
          <w:szCs w:val="24"/>
        </w:rPr>
        <w:t>文件及澄清、说明或者补正文件和</w:t>
      </w:r>
      <w:r>
        <w:rPr>
          <w:rFonts w:hint="eastAsia" w:ascii="宋体" w:hAnsi="宋体" w:eastAsia="宋体" w:cs="宋体"/>
          <w:kern w:val="0"/>
          <w:sz w:val="24"/>
          <w:szCs w:val="24"/>
          <w:lang w:eastAsia="zh-CN"/>
        </w:rPr>
        <w:t>成交</w:t>
      </w:r>
      <w:r>
        <w:rPr>
          <w:rFonts w:hint="eastAsia" w:ascii="宋体" w:hAnsi="宋体" w:eastAsia="宋体" w:cs="宋体"/>
          <w:kern w:val="0"/>
          <w:sz w:val="24"/>
          <w:szCs w:val="24"/>
        </w:rPr>
        <w:t>通知书的要求，经双方协商一致，订立合同如下：</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项目的名称、项目总价和项目产品的清单（名称、数量、规格、单价、型号、品牌和技术指标等）</w:t>
      </w:r>
    </w:p>
    <w:p>
      <w:pPr>
        <w:keepNext w:val="0"/>
        <w:keepLines w:val="0"/>
        <w:pageBreakBefore w:val="0"/>
        <w:numPr>
          <w:ilvl w:val="0"/>
          <w:numId w:val="3"/>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项目名称：</w:t>
      </w:r>
      <w:r>
        <w:rPr>
          <w:rFonts w:hint="eastAsia" w:ascii="宋体" w:hAnsi="宋体" w:eastAsia="宋体" w:cs="宋体"/>
          <w:kern w:val="0"/>
          <w:sz w:val="24"/>
          <w:szCs w:val="24"/>
          <w:u w:val="single"/>
        </w:rPr>
        <w:t>2023年数字江门网络建设有限公司信息系统等级保护整改安全服务项目</w:t>
      </w:r>
      <w:r>
        <w:rPr>
          <w:rFonts w:hint="eastAsia" w:ascii="宋体" w:hAnsi="宋体" w:eastAsia="宋体" w:cs="宋体"/>
          <w:kern w:val="0"/>
          <w:sz w:val="24"/>
          <w:szCs w:val="24"/>
          <w:u w:val="none"/>
          <w:lang w:eastAsia="zh-CN"/>
        </w:rPr>
        <w:t>。</w:t>
      </w:r>
    </w:p>
    <w:p>
      <w:pPr>
        <w:keepNext w:val="0"/>
        <w:keepLines w:val="0"/>
        <w:pageBreakBefore w:val="0"/>
        <w:numPr>
          <w:ilvl w:val="0"/>
          <w:numId w:val="3"/>
        </w:numPr>
        <w:kinsoku/>
        <w:wordWrap/>
        <w:overflowPunct/>
        <w:topLinePunct w:val="0"/>
        <w:bidi w:val="0"/>
        <w:snapToGrid/>
        <w:spacing w:line="360" w:lineRule="auto"/>
        <w:ind w:left="0" w:leftChars="0" w:firstLine="480" w:firstLineChars="200"/>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项目总价是完成项目的含税全包价，所有价格变动的风险均由乙方承担，甲方不需再向乙方支付任何费用。</w:t>
      </w:r>
      <w:r>
        <w:rPr>
          <w:rFonts w:hint="eastAsia" w:ascii="宋体" w:hAnsi="宋体" w:eastAsia="宋体" w:cs="宋体"/>
          <w:kern w:val="0"/>
          <w:sz w:val="24"/>
          <w:szCs w:val="24"/>
          <w:lang w:val="en-US" w:eastAsia="zh-CN"/>
        </w:rPr>
        <w:t>所有款项均以人民币结算，支付方式可为支票、电汇方式。乙方账号信息如下（如乙方不另行通知，则甲方按如下执行）：</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cs="宋体"/>
          <w:kern w:val="0"/>
          <w:sz w:val="24"/>
          <w:szCs w:val="24"/>
          <w:lang w:val="en-US" w:eastAsia="zh-CN"/>
        </w:rPr>
      </w:pPr>
      <w:r>
        <w:rPr>
          <w:rFonts w:hint="eastAsia" w:ascii="宋体" w:cs="宋体"/>
          <w:kern w:val="0"/>
          <w:sz w:val="24"/>
          <w:szCs w:val="24"/>
          <w:lang w:val="en-US" w:eastAsia="zh-CN"/>
        </w:rPr>
        <w:t>公司名称：XXXXX</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cs="宋体"/>
          <w:kern w:val="0"/>
          <w:sz w:val="24"/>
          <w:szCs w:val="24"/>
          <w:lang w:val="en-US" w:eastAsia="zh-CN"/>
        </w:rPr>
      </w:pPr>
      <w:r>
        <w:rPr>
          <w:rFonts w:hint="eastAsia" w:ascii="宋体" w:cs="宋体"/>
          <w:kern w:val="0"/>
          <w:sz w:val="24"/>
          <w:szCs w:val="24"/>
          <w:lang w:val="en-US" w:eastAsia="zh-CN"/>
        </w:rPr>
        <w:t>公司地址：XXXXX</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cs="宋体"/>
          <w:kern w:val="0"/>
          <w:sz w:val="24"/>
          <w:szCs w:val="24"/>
          <w:lang w:val="en-US" w:eastAsia="zh-CN"/>
        </w:rPr>
      </w:pPr>
      <w:r>
        <w:rPr>
          <w:rFonts w:hint="eastAsia" w:ascii="宋体" w:cs="宋体"/>
          <w:kern w:val="0"/>
          <w:sz w:val="24"/>
          <w:szCs w:val="24"/>
          <w:lang w:val="en-US" w:eastAsia="zh-CN"/>
        </w:rPr>
        <w:t>电话：XXXX</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cs="宋体"/>
          <w:kern w:val="0"/>
          <w:sz w:val="24"/>
          <w:szCs w:val="24"/>
          <w:lang w:val="en-US" w:eastAsia="zh-CN"/>
        </w:rPr>
      </w:pPr>
      <w:r>
        <w:rPr>
          <w:rFonts w:hint="eastAsia" w:ascii="宋体" w:cs="宋体"/>
          <w:kern w:val="0"/>
          <w:sz w:val="24"/>
          <w:szCs w:val="24"/>
          <w:lang w:val="en-US" w:eastAsia="zh-CN"/>
        </w:rPr>
        <w:t>开户银行：XXXX</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kern w:val="0"/>
          <w:sz w:val="24"/>
          <w:szCs w:val="24"/>
        </w:rPr>
      </w:pPr>
      <w:r>
        <w:rPr>
          <w:rFonts w:hint="eastAsia" w:ascii="宋体" w:cs="宋体"/>
          <w:kern w:val="0"/>
          <w:sz w:val="24"/>
          <w:szCs w:val="24"/>
          <w:lang w:val="en-US" w:eastAsia="zh-CN"/>
        </w:rPr>
        <w:t>账号：XXXX</w:t>
      </w:r>
    </w:p>
    <w:p>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项目总价为（小写）</w:t>
      </w:r>
      <w:r>
        <w:rPr>
          <w:rFonts w:hint="eastAsia" w:ascii="宋体" w:hAnsi="宋体" w:eastAsia="宋体" w:cs="宋体"/>
          <w:kern w:val="0"/>
          <w:sz w:val="24"/>
          <w:szCs w:val="24"/>
          <w:u w:val="single"/>
        </w:rPr>
        <w:t>¥</w:t>
      </w:r>
      <w:r>
        <w:rPr>
          <w:rFonts w:hint="eastAsia" w:ascii="宋体" w:hAnsi="宋体" w:eastAsia="宋体" w:cs="宋体"/>
          <w:kern w:val="0"/>
          <w:sz w:val="24"/>
          <w:szCs w:val="24"/>
          <w:u w:val="single"/>
          <w:lang w:val="en-US" w:eastAsia="zh-CN"/>
        </w:rPr>
        <w:t>XXX</w:t>
      </w:r>
      <w:r>
        <w:rPr>
          <w:rFonts w:hint="eastAsia" w:ascii="宋体" w:hAnsi="宋体" w:eastAsia="宋体" w:cs="宋体"/>
          <w:kern w:val="0"/>
          <w:sz w:val="24"/>
          <w:szCs w:val="24"/>
        </w:rPr>
        <w:t>，（大写）</w:t>
      </w:r>
      <w:r>
        <w:rPr>
          <w:rFonts w:hint="eastAsia" w:ascii="宋体" w:hAnsi="宋体" w:eastAsia="宋体" w:cs="宋体"/>
          <w:kern w:val="0"/>
          <w:sz w:val="24"/>
          <w:szCs w:val="24"/>
          <w:u w:val="single"/>
        </w:rPr>
        <w:t>人民币</w:t>
      </w:r>
      <w:r>
        <w:rPr>
          <w:rFonts w:hint="eastAsia" w:ascii="宋体" w:hAnsi="宋体" w:eastAsia="宋体" w:cs="宋体"/>
          <w:kern w:val="0"/>
          <w:sz w:val="24"/>
          <w:szCs w:val="24"/>
          <w:u w:val="single"/>
          <w:lang w:val="en-US" w:eastAsia="zh-CN"/>
        </w:rPr>
        <w:t>XXX</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其中</w:t>
      </w:r>
      <w:r>
        <w:rPr>
          <w:rFonts w:hint="eastAsia" w:ascii="宋体" w:hAnsi="宋体" w:eastAsia="宋体" w:cs="宋体"/>
          <w:color w:val="auto"/>
          <w:kern w:val="0"/>
          <w:sz w:val="24"/>
          <w:szCs w:val="24"/>
          <w:lang w:eastAsia="zh-CN"/>
        </w:rPr>
        <w:t>不含税金额</w:t>
      </w:r>
      <w:r>
        <w:rPr>
          <w:rFonts w:hint="eastAsia" w:ascii="宋体" w:hAnsi="宋体" w:eastAsia="宋体" w:cs="宋体"/>
          <w:color w:val="auto"/>
          <w:kern w:val="0"/>
          <w:sz w:val="24"/>
          <w:szCs w:val="24"/>
          <w:u w:val="single"/>
          <w:lang w:val="en-US" w:eastAsia="zh-CN"/>
        </w:rPr>
        <w:t>¥X</w:t>
      </w:r>
      <w:r>
        <w:rPr>
          <w:rFonts w:hint="eastAsia" w:ascii="宋体" w:hAnsi="宋体" w:eastAsia="宋体" w:cs="宋体"/>
          <w:color w:val="auto"/>
          <w:kern w:val="0"/>
          <w:sz w:val="24"/>
          <w:szCs w:val="24"/>
          <w:lang w:eastAsia="zh-CN"/>
        </w:rPr>
        <w:t>元，（大写）</w:t>
      </w:r>
      <w:r>
        <w:rPr>
          <w:rFonts w:hint="eastAsia" w:ascii="宋体" w:hAnsi="宋体" w:eastAsia="宋体" w:cs="宋体"/>
          <w:color w:val="auto"/>
          <w:kern w:val="0"/>
          <w:sz w:val="24"/>
          <w:szCs w:val="24"/>
          <w:u w:val="single"/>
          <w:lang w:eastAsia="zh-CN"/>
        </w:rPr>
        <w:t>人民币</w:t>
      </w:r>
      <w:r>
        <w:rPr>
          <w:rFonts w:hint="eastAsia" w:ascii="宋体" w:hAnsi="宋体" w:eastAsia="宋体" w:cs="宋体"/>
          <w:color w:val="auto"/>
          <w:kern w:val="0"/>
          <w:sz w:val="24"/>
          <w:szCs w:val="24"/>
          <w:u w:val="single"/>
          <w:lang w:val="en-US" w:eastAsia="zh-CN"/>
        </w:rPr>
        <w:t>X</w:t>
      </w:r>
      <w:r>
        <w:rPr>
          <w:rFonts w:hint="eastAsia" w:ascii="宋体" w:hAnsi="宋体" w:eastAsia="宋体" w:cs="宋体"/>
          <w:color w:val="auto"/>
          <w:kern w:val="0"/>
          <w:sz w:val="24"/>
          <w:szCs w:val="24"/>
          <w:lang w:eastAsia="zh-CN"/>
        </w:rPr>
        <w:t>，增值税税额</w:t>
      </w:r>
      <w:r>
        <w:rPr>
          <w:rFonts w:hint="eastAsia" w:ascii="宋体" w:hAnsi="宋体" w:eastAsia="宋体" w:cs="宋体"/>
          <w:color w:val="auto"/>
          <w:kern w:val="0"/>
          <w:sz w:val="24"/>
          <w:szCs w:val="24"/>
          <w:u w:val="single"/>
          <w:lang w:val="en-US" w:eastAsia="zh-CN"/>
        </w:rPr>
        <w:t>¥X</w:t>
      </w:r>
      <w:r>
        <w:rPr>
          <w:rFonts w:hint="eastAsia" w:ascii="宋体" w:hAnsi="宋体" w:eastAsia="宋体" w:cs="宋体"/>
          <w:color w:val="auto"/>
          <w:kern w:val="0"/>
          <w:sz w:val="24"/>
          <w:szCs w:val="24"/>
          <w:lang w:eastAsia="zh-CN"/>
        </w:rPr>
        <w:t>元，（大写）</w:t>
      </w:r>
      <w:r>
        <w:rPr>
          <w:rFonts w:hint="eastAsia" w:ascii="宋体" w:hAnsi="宋体" w:eastAsia="宋体" w:cs="宋体"/>
          <w:color w:val="auto"/>
          <w:kern w:val="0"/>
          <w:sz w:val="24"/>
          <w:szCs w:val="24"/>
          <w:lang w:val="en-US" w:eastAsia="zh-CN"/>
        </w:rPr>
        <w:t>人民币</w:t>
      </w:r>
      <w:r>
        <w:rPr>
          <w:rFonts w:hint="eastAsia" w:ascii="宋体" w:hAnsi="宋体" w:eastAsia="宋体" w:cs="宋体"/>
          <w:color w:val="auto"/>
          <w:kern w:val="0"/>
          <w:sz w:val="24"/>
          <w:szCs w:val="24"/>
          <w:u w:val="single"/>
          <w:lang w:val="en-US" w:eastAsia="zh-CN"/>
        </w:rPr>
        <w:t>X</w:t>
      </w:r>
      <w:r>
        <w:rPr>
          <w:rFonts w:hint="eastAsia" w:ascii="宋体" w:hAnsi="宋体" w:eastAsia="宋体" w:cs="宋体"/>
          <w:color w:val="auto"/>
          <w:kern w:val="0"/>
          <w:sz w:val="24"/>
          <w:szCs w:val="24"/>
          <w:lang w:eastAsia="zh-CN"/>
        </w:rPr>
        <w:t>，提供税率为</w:t>
      </w:r>
      <w:r>
        <w:rPr>
          <w:rFonts w:hint="eastAsia" w:ascii="宋体" w:hAnsi="宋体" w:eastAsia="宋体" w:cs="宋体"/>
          <w:color w:val="auto"/>
          <w:kern w:val="0"/>
          <w:sz w:val="24"/>
          <w:szCs w:val="24"/>
          <w:u w:val="single"/>
          <w:lang w:val="en-US" w:eastAsia="zh-CN"/>
        </w:rPr>
        <w:t>X</w:t>
      </w:r>
      <w:r>
        <w:rPr>
          <w:rFonts w:hint="eastAsia" w:ascii="宋体" w:hAnsi="宋体" w:eastAsia="宋体" w:cs="宋体"/>
          <w:color w:val="auto"/>
          <w:kern w:val="0"/>
          <w:sz w:val="24"/>
          <w:szCs w:val="24"/>
          <w:u w:val="single"/>
          <w:lang w:eastAsia="zh-CN"/>
        </w:rPr>
        <w:t>%</w:t>
      </w:r>
      <w:r>
        <w:rPr>
          <w:rFonts w:hint="eastAsia" w:ascii="宋体" w:hAnsi="宋体" w:eastAsia="宋体" w:cs="宋体"/>
          <w:color w:val="auto"/>
          <w:kern w:val="0"/>
          <w:sz w:val="24"/>
          <w:szCs w:val="24"/>
          <w:lang w:eastAsia="zh-CN"/>
        </w:rPr>
        <w:t>的增值税</w:t>
      </w:r>
      <w:r>
        <w:rPr>
          <w:rFonts w:hint="eastAsia" w:ascii="宋体" w:hAnsi="宋体" w:eastAsia="宋体" w:cs="宋体"/>
          <w:color w:val="auto"/>
          <w:kern w:val="0"/>
          <w:sz w:val="24"/>
          <w:szCs w:val="24"/>
          <w:lang w:val="en-US" w:eastAsia="zh-CN"/>
        </w:rPr>
        <w:t>专用发票。</w:t>
      </w:r>
    </w:p>
    <w:p>
      <w:pPr>
        <w:keepNext w:val="0"/>
        <w:keepLines w:val="0"/>
        <w:pageBreakBefore w:val="0"/>
        <w:numPr>
          <w:ilvl w:val="0"/>
          <w:numId w:val="3"/>
        </w:numPr>
        <w:kinsoku/>
        <w:wordWrap/>
        <w:overflowPunct/>
        <w:topLinePunct w:val="0"/>
        <w:autoSpaceDE/>
        <w:autoSpaceDN/>
        <w:bidi w:val="0"/>
        <w:adjustRightInd/>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服务内容：</w:t>
      </w:r>
    </w:p>
    <w:p>
      <w:pPr>
        <w:pStyle w:val="14"/>
        <w:keepNext w:val="0"/>
        <w:keepLines w:val="0"/>
        <w:pageBreakBefore w:val="0"/>
        <w:kinsoku/>
        <w:wordWrap/>
        <w:overflowPunct/>
        <w:topLinePunct w:val="0"/>
        <w:bidi w:val="0"/>
        <w:snapToGrid/>
        <w:spacing w:line="360" w:lineRule="auto"/>
        <w:ind w:left="0" w:leftChars="0" w:firstLine="480" w:firstLineChars="200"/>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整改的内容包括但不限于以下内容：</w:t>
      </w:r>
    </w:p>
    <w:p>
      <w:pPr>
        <w:pStyle w:val="14"/>
        <w:keepNext w:val="0"/>
        <w:keepLines w:val="0"/>
        <w:pageBreakBefore w:val="0"/>
        <w:kinsoku/>
        <w:wordWrap/>
        <w:overflowPunct/>
        <w:topLinePunct w:val="0"/>
        <w:bidi w:val="0"/>
        <w:snapToGrid/>
        <w:spacing w:line="360" w:lineRule="auto"/>
        <w:ind w:left="0" w:leftChars="0" w:firstLine="480" w:firstLineChars="200"/>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安全计算环境评估整改：包括本次采购交换机的密码复杂度配置、设备上架上线、主要负载业务割接及管理账号权限合规性整改；</w:t>
      </w:r>
    </w:p>
    <w:p>
      <w:pPr>
        <w:pStyle w:val="14"/>
        <w:keepNext w:val="0"/>
        <w:keepLines w:val="0"/>
        <w:pageBreakBefore w:val="0"/>
        <w:kinsoku/>
        <w:wordWrap/>
        <w:overflowPunct/>
        <w:topLinePunct w:val="0"/>
        <w:bidi w:val="0"/>
        <w:snapToGrid/>
        <w:spacing w:line="360" w:lineRule="auto"/>
        <w:ind w:left="0" w:leftChars="0" w:firstLine="480" w:firstLineChars="200"/>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需要整改的系统清单如下：</w:t>
      </w:r>
    </w:p>
    <w:p>
      <w:pPr>
        <w:pStyle w:val="14"/>
        <w:keepNext w:val="0"/>
        <w:keepLines w:val="0"/>
        <w:pageBreakBefore w:val="0"/>
        <w:kinsoku/>
        <w:wordWrap/>
        <w:overflowPunct/>
        <w:topLinePunct w:val="0"/>
        <w:bidi w:val="0"/>
        <w:snapToGrid/>
        <w:spacing w:line="360" w:lineRule="auto"/>
        <w:ind w:left="0" w:leftChars="0" w:firstLine="480" w:firstLineChars="200"/>
        <w:rPr>
          <w:rFonts w:hint="eastAsia" w:ascii="宋体" w:hAnsi="宋体" w:eastAsia="宋体" w:cs="宋体"/>
          <w:b w:val="0"/>
          <w:bCs w:val="0"/>
          <w:kern w:val="0"/>
          <w:sz w:val="24"/>
          <w:szCs w:val="24"/>
        </w:rPr>
      </w:pPr>
    </w:p>
    <w:tbl>
      <w:tblPr>
        <w:tblStyle w:val="9"/>
        <w:tblW w:w="5000" w:type="pct"/>
        <w:jc w:val="center"/>
        <w:tblLayout w:type="fixed"/>
        <w:tblCellMar>
          <w:top w:w="0" w:type="dxa"/>
          <w:left w:w="108" w:type="dxa"/>
          <w:bottom w:w="0" w:type="dxa"/>
          <w:right w:w="108" w:type="dxa"/>
        </w:tblCellMar>
      </w:tblPr>
      <w:tblGrid>
        <w:gridCol w:w="834"/>
        <w:gridCol w:w="825"/>
        <w:gridCol w:w="645"/>
        <w:gridCol w:w="870"/>
        <w:gridCol w:w="5348"/>
      </w:tblGrid>
      <w:tr>
        <w:tblPrEx>
          <w:tblCellMar>
            <w:top w:w="0" w:type="dxa"/>
            <w:left w:w="108" w:type="dxa"/>
            <w:bottom w:w="0" w:type="dxa"/>
            <w:right w:w="108" w:type="dxa"/>
          </w:tblCellMar>
        </w:tblPrEx>
        <w:trPr>
          <w:trHeight w:val="600" w:hRule="atLeast"/>
          <w:jc w:val="center"/>
        </w:trPr>
        <w:tc>
          <w:tcPr>
            <w:tcW w:w="83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b/>
                <w:bCs/>
                <w:kern w:val="0"/>
                <w:sz w:val="24"/>
                <w:szCs w:val="24"/>
              </w:rPr>
            </w:pPr>
            <w:r>
              <w:rPr>
                <w:rFonts w:hint="eastAsia" w:ascii="宋体" w:hAnsi="宋体" w:eastAsia="宋体" w:cs="宋体"/>
                <w:b/>
                <w:bCs/>
                <w:kern w:val="0"/>
                <w:szCs w:val="21"/>
              </w:rPr>
              <w:t>序号</w:t>
            </w:r>
          </w:p>
        </w:tc>
        <w:tc>
          <w:tcPr>
            <w:tcW w:w="825"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b/>
                <w:bCs/>
                <w:kern w:val="0"/>
                <w:sz w:val="24"/>
                <w:szCs w:val="24"/>
              </w:rPr>
            </w:pPr>
            <w:r>
              <w:rPr>
                <w:rFonts w:hint="eastAsia" w:ascii="宋体" w:hAnsi="宋体" w:eastAsia="宋体" w:cs="宋体"/>
                <w:b/>
                <w:bCs/>
                <w:kern w:val="0"/>
                <w:szCs w:val="21"/>
              </w:rPr>
              <w:t>信息系统名称</w:t>
            </w:r>
          </w:p>
        </w:tc>
        <w:tc>
          <w:tcPr>
            <w:tcW w:w="645"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b/>
                <w:bCs/>
                <w:kern w:val="0"/>
                <w:sz w:val="24"/>
                <w:szCs w:val="24"/>
              </w:rPr>
            </w:pPr>
            <w:r>
              <w:rPr>
                <w:rFonts w:hint="eastAsia" w:ascii="宋体" w:hAnsi="宋体" w:eastAsia="宋体" w:cs="宋体"/>
                <w:b/>
                <w:bCs/>
                <w:kern w:val="0"/>
                <w:szCs w:val="21"/>
              </w:rPr>
              <w:t>责任单位</w:t>
            </w:r>
          </w:p>
        </w:tc>
        <w:tc>
          <w:tcPr>
            <w:tcW w:w="870"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b/>
                <w:bCs/>
                <w:kern w:val="0"/>
                <w:sz w:val="24"/>
                <w:szCs w:val="24"/>
              </w:rPr>
            </w:pPr>
            <w:r>
              <w:rPr>
                <w:rFonts w:hint="eastAsia" w:ascii="宋体" w:hAnsi="宋体" w:eastAsia="宋体" w:cs="宋体"/>
                <w:b/>
                <w:bCs/>
                <w:kern w:val="0"/>
                <w:szCs w:val="21"/>
              </w:rPr>
              <w:t>级别</w:t>
            </w:r>
          </w:p>
        </w:tc>
        <w:tc>
          <w:tcPr>
            <w:tcW w:w="5348"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b/>
                <w:bCs/>
                <w:kern w:val="0"/>
                <w:sz w:val="24"/>
                <w:szCs w:val="24"/>
              </w:rPr>
            </w:pPr>
            <w:r>
              <w:rPr>
                <w:rFonts w:hint="eastAsia" w:ascii="宋体" w:hAnsi="宋体" w:eastAsia="宋体" w:cs="宋体"/>
                <w:b/>
                <w:bCs/>
                <w:kern w:val="0"/>
                <w:szCs w:val="21"/>
              </w:rPr>
              <w:t>整改内容</w:t>
            </w:r>
          </w:p>
        </w:tc>
      </w:tr>
      <w:tr>
        <w:tblPrEx>
          <w:tblCellMar>
            <w:top w:w="0" w:type="dxa"/>
            <w:left w:w="108" w:type="dxa"/>
            <w:bottom w:w="0" w:type="dxa"/>
            <w:right w:w="108" w:type="dxa"/>
          </w:tblCellMar>
        </w:tblPrEx>
        <w:trPr>
          <w:trHeight w:val="330" w:hRule="atLeast"/>
          <w:jc w:val="center"/>
        </w:trPr>
        <w:tc>
          <w:tcPr>
            <w:tcW w:w="834"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kern w:val="0"/>
                <w:sz w:val="24"/>
                <w:szCs w:val="24"/>
              </w:rPr>
            </w:pPr>
            <w:r>
              <w:rPr>
                <w:rFonts w:hint="eastAsia" w:ascii="宋体" w:hAnsi="宋体" w:eastAsia="宋体" w:cs="宋体"/>
                <w:kern w:val="0"/>
                <w:szCs w:val="21"/>
              </w:rPr>
              <w:t>1</w:t>
            </w:r>
          </w:p>
        </w:tc>
        <w:tc>
          <w:tcPr>
            <w:tcW w:w="825"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kern w:val="0"/>
                <w:sz w:val="24"/>
                <w:szCs w:val="24"/>
              </w:rPr>
            </w:pPr>
            <w:r>
              <w:rPr>
                <w:rFonts w:hint="eastAsia" w:ascii="宋体" w:hAnsi="宋体" w:eastAsia="宋体" w:cs="宋体"/>
                <w:kern w:val="0"/>
                <w:szCs w:val="21"/>
              </w:rPr>
              <w:t>江门市电子政务外网系统</w:t>
            </w:r>
          </w:p>
        </w:tc>
        <w:tc>
          <w:tcPr>
            <w:tcW w:w="645"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kern w:val="0"/>
                <w:sz w:val="24"/>
                <w:szCs w:val="24"/>
              </w:rPr>
            </w:pPr>
            <w:r>
              <w:rPr>
                <w:rFonts w:hint="eastAsia" w:ascii="宋体" w:hAnsi="宋体" w:eastAsia="宋体" w:cs="宋体"/>
                <w:kern w:val="0"/>
                <w:szCs w:val="21"/>
              </w:rPr>
              <w:t>江门市政务服务数据管理局</w:t>
            </w:r>
          </w:p>
        </w:tc>
        <w:tc>
          <w:tcPr>
            <w:tcW w:w="870" w:type="dxa"/>
            <w:tcBorders>
              <w:top w:val="nil"/>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kern w:val="0"/>
                <w:sz w:val="24"/>
                <w:szCs w:val="24"/>
              </w:rPr>
            </w:pPr>
            <w:r>
              <w:rPr>
                <w:rFonts w:hint="eastAsia" w:ascii="宋体" w:hAnsi="宋体" w:eastAsia="宋体" w:cs="宋体"/>
                <w:kern w:val="0"/>
                <w:szCs w:val="21"/>
              </w:rPr>
              <w:t>三级</w:t>
            </w:r>
          </w:p>
        </w:tc>
        <w:tc>
          <w:tcPr>
            <w:tcW w:w="5348" w:type="dxa"/>
            <w:tcBorders>
              <w:top w:val="nil"/>
              <w:left w:val="nil"/>
              <w:bottom w:val="single" w:color="auto" w:sz="4" w:space="0"/>
              <w:right w:val="single" w:color="auto" w:sz="4" w:space="0"/>
            </w:tcBorders>
            <w:vAlign w:val="center"/>
          </w:tcPr>
          <w:p>
            <w:pPr>
              <w:widowControl/>
              <w:spacing w:line="360" w:lineRule="auto"/>
              <w:jc w:val="left"/>
              <w:textAlignment w:val="center"/>
              <w:rPr>
                <w:rFonts w:hint="eastAsia" w:ascii="宋体" w:hAnsi="宋体" w:eastAsia="宋体" w:cs="宋体"/>
                <w:kern w:val="0"/>
                <w:sz w:val="24"/>
                <w:szCs w:val="24"/>
              </w:rPr>
            </w:pPr>
            <w:r>
              <w:rPr>
                <w:rFonts w:hint="eastAsia" w:ascii="宋体" w:hAnsi="宋体" w:eastAsia="宋体" w:cs="宋体"/>
                <w:kern w:val="0"/>
                <w:szCs w:val="21"/>
                <w:lang w:bidi="ar"/>
              </w:rPr>
              <w:t>根据测评公司提供的《江门市电子政务外网系统</w:t>
            </w:r>
            <w:r>
              <w:rPr>
                <w:rFonts w:hint="eastAsia" w:ascii="宋体" w:hAnsi="宋体" w:eastAsia="宋体" w:cs="宋体"/>
                <w:kern w:val="0"/>
                <w:szCs w:val="21"/>
                <w:lang w:eastAsia="zh-CN" w:bidi="ar"/>
              </w:rPr>
              <w:t>－</w:t>
            </w:r>
            <w:r>
              <w:rPr>
                <w:rFonts w:hint="eastAsia" w:ascii="宋体" w:hAnsi="宋体" w:eastAsia="宋体" w:cs="宋体"/>
                <w:kern w:val="0"/>
                <w:szCs w:val="21"/>
                <w:lang w:bidi="ar"/>
              </w:rPr>
              <w:t>等保测评详细安全问题汇总》，共有389个安全问题，其中涉及</w:t>
            </w:r>
            <w:r>
              <w:rPr>
                <w:rFonts w:hint="eastAsia" w:ascii="宋体" w:hAnsi="宋体" w:eastAsia="宋体" w:cs="宋体"/>
                <w:kern w:val="0"/>
                <w:szCs w:val="21"/>
                <w:lang w:eastAsia="zh-CN" w:bidi="ar"/>
              </w:rPr>
              <w:t>接入</w:t>
            </w:r>
            <w:r>
              <w:rPr>
                <w:rFonts w:hint="eastAsia" w:ascii="宋体" w:hAnsi="宋体" w:eastAsia="宋体" w:cs="宋体"/>
                <w:kern w:val="0"/>
                <w:szCs w:val="21"/>
                <w:lang w:bidi="ar"/>
              </w:rPr>
              <w:t>交换机安全性数量为67个；协助责任单位完成安全计算环境评估整改技术要求（共涉及4台接入交换机的密码复杂度配置、设备上架上线、交换机负载业务割接及管理账号权限合规性整改，以确保达到等保测评三级要求。）</w:t>
            </w:r>
          </w:p>
        </w:tc>
      </w:tr>
    </w:tbl>
    <w:p>
      <w:pPr>
        <w:pStyle w:val="14"/>
        <w:keepNext w:val="0"/>
        <w:keepLines w:val="0"/>
        <w:pageBreakBefore w:val="0"/>
        <w:kinsoku/>
        <w:wordWrap/>
        <w:overflowPunct/>
        <w:topLinePunct w:val="0"/>
        <w:bidi w:val="0"/>
        <w:snapToGrid/>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kern w:val="0"/>
          <w:sz w:val="24"/>
          <w:szCs w:val="24"/>
        </w:rPr>
        <w:t>计划采购设备清单如下：</w:t>
      </w:r>
    </w:p>
    <w:tbl>
      <w:tblPr>
        <w:tblStyle w:val="9"/>
        <w:tblW w:w="0" w:type="auto"/>
        <w:jc w:val="center"/>
        <w:tblLayout w:type="autofit"/>
        <w:tblCellMar>
          <w:top w:w="0" w:type="dxa"/>
          <w:left w:w="108" w:type="dxa"/>
          <w:bottom w:w="0" w:type="dxa"/>
          <w:right w:w="108" w:type="dxa"/>
        </w:tblCellMar>
      </w:tblPr>
      <w:tblGrid>
        <w:gridCol w:w="698"/>
        <w:gridCol w:w="2323"/>
        <w:gridCol w:w="4987"/>
        <w:gridCol w:w="514"/>
      </w:tblGrid>
      <w:tr>
        <w:tblPrEx>
          <w:tblCellMar>
            <w:top w:w="0" w:type="dxa"/>
            <w:left w:w="108" w:type="dxa"/>
            <w:bottom w:w="0" w:type="dxa"/>
            <w:right w:w="108" w:type="dxa"/>
          </w:tblCellMar>
        </w:tblPrEx>
        <w:trPr>
          <w:trHeight w:val="87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outlineLvl w:val="0"/>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0" w:type="auto"/>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outlineLvl w:val="0"/>
              <w:rPr>
                <w:rFonts w:hint="eastAsia" w:ascii="宋体" w:hAnsi="宋体" w:eastAsia="宋体" w:cs="宋体"/>
                <w:b/>
                <w:bCs/>
                <w:kern w:val="0"/>
                <w:sz w:val="24"/>
                <w:szCs w:val="24"/>
              </w:rPr>
            </w:pPr>
            <w:r>
              <w:rPr>
                <w:rFonts w:hint="eastAsia" w:ascii="宋体" w:hAnsi="宋体" w:eastAsia="宋体" w:cs="宋体"/>
                <w:b/>
                <w:bCs/>
                <w:kern w:val="0"/>
                <w:sz w:val="24"/>
                <w:szCs w:val="24"/>
              </w:rPr>
              <w:t>型号</w:t>
            </w:r>
          </w:p>
        </w:tc>
        <w:tc>
          <w:tcPr>
            <w:tcW w:w="0" w:type="auto"/>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outlineLvl w:val="0"/>
              <w:rPr>
                <w:rFonts w:hint="eastAsia" w:ascii="宋体" w:hAnsi="宋体" w:eastAsia="宋体" w:cs="宋体"/>
                <w:b/>
                <w:bCs/>
                <w:kern w:val="0"/>
                <w:sz w:val="24"/>
                <w:szCs w:val="24"/>
              </w:rPr>
            </w:pPr>
            <w:r>
              <w:rPr>
                <w:rFonts w:hint="eastAsia" w:ascii="宋体" w:hAnsi="宋体" w:eastAsia="宋体" w:cs="宋体"/>
                <w:b/>
                <w:bCs/>
                <w:kern w:val="0"/>
                <w:sz w:val="24"/>
                <w:szCs w:val="24"/>
              </w:rPr>
              <w:t>配置说明</w:t>
            </w:r>
          </w:p>
        </w:tc>
        <w:tc>
          <w:tcPr>
            <w:tcW w:w="0" w:type="auto"/>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outlineLvl w:val="0"/>
              <w:rPr>
                <w:rFonts w:hint="eastAsia" w:ascii="宋体" w:hAnsi="宋体" w:eastAsia="宋体" w:cs="宋体"/>
                <w:b/>
                <w:bCs/>
                <w:kern w:val="0"/>
                <w:sz w:val="24"/>
                <w:szCs w:val="24"/>
              </w:rPr>
            </w:pPr>
            <w:r>
              <w:rPr>
                <w:rFonts w:hint="eastAsia" w:ascii="宋体" w:hAnsi="宋体" w:eastAsia="宋体" w:cs="宋体"/>
                <w:b/>
                <w:bCs/>
                <w:kern w:val="0"/>
                <w:sz w:val="24"/>
                <w:szCs w:val="24"/>
              </w:rPr>
              <w:t>数量</w:t>
            </w:r>
          </w:p>
        </w:tc>
      </w:tr>
      <w:tr>
        <w:tblPrEx>
          <w:tblCellMar>
            <w:top w:w="0" w:type="dxa"/>
            <w:left w:w="108" w:type="dxa"/>
            <w:bottom w:w="0" w:type="dxa"/>
            <w:right w:w="108" w:type="dxa"/>
          </w:tblCellMar>
        </w:tblPrEx>
        <w:trPr>
          <w:trHeight w:val="87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0" w:type="auto"/>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rPr>
              <w:t>华为CE5882-48T4S-B</w:t>
            </w:r>
          </w:p>
        </w:tc>
        <w:tc>
          <w:tcPr>
            <w:tcW w:w="0" w:type="auto"/>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rPr>
              <w:t>CE5882-48T4S 交换机</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48*GE电</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 xml:space="preserve"> 4*10GE SFP+, 2*交流电源</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 xml:space="preserve"> 2*风机盒</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 xml:space="preserve"> 端口侧进风</w:t>
            </w:r>
            <w:r>
              <w:rPr>
                <w:rFonts w:hint="eastAsia" w:ascii="宋体" w:hAnsi="宋体" w:eastAsia="宋体" w:cs="宋体"/>
                <w:kern w:val="0"/>
                <w:sz w:val="24"/>
                <w:szCs w:val="24"/>
                <w:lang w:eastAsia="zh-CN"/>
              </w:rPr>
              <w:t>）</w:t>
            </w:r>
          </w:p>
        </w:tc>
        <w:tc>
          <w:tcPr>
            <w:tcW w:w="0" w:type="auto"/>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rPr>
              <w:t>4套</w:t>
            </w:r>
          </w:p>
        </w:tc>
      </w:tr>
      <w:tr>
        <w:tblPrEx>
          <w:tblCellMar>
            <w:top w:w="0" w:type="dxa"/>
            <w:left w:w="108" w:type="dxa"/>
            <w:bottom w:w="0" w:type="dxa"/>
            <w:right w:w="108" w:type="dxa"/>
          </w:tblCellMar>
        </w:tblPrEx>
        <w:trPr>
          <w:trHeight w:val="14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0" w:type="auto"/>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rPr>
              <w:t>华为Hi-Care基础服务基本36月</w:t>
            </w:r>
          </w:p>
        </w:tc>
        <w:tc>
          <w:tcPr>
            <w:tcW w:w="0" w:type="auto"/>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rPr>
              <w:t>CE5882-48T4S 交换机</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48*GE电</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 xml:space="preserve"> 4*10GE SFP+, 2*交流电源</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 xml:space="preserve"> 2*风机盒</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 xml:space="preserve"> 端口侧进风</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_Hi-Care基础服务基本 CE5882-48T4S_36月</w:t>
            </w:r>
          </w:p>
        </w:tc>
        <w:tc>
          <w:tcPr>
            <w:tcW w:w="0" w:type="auto"/>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rPr>
              <w:t>4套</w:t>
            </w:r>
          </w:p>
        </w:tc>
      </w:tr>
    </w:tbl>
    <w:p>
      <w:pPr>
        <w:pStyle w:val="8"/>
        <w:keepNext w:val="0"/>
        <w:keepLines w:val="0"/>
        <w:pageBreakBefore w:val="0"/>
        <w:numPr>
          <w:ilvl w:val="-1"/>
          <w:numId w:val="0"/>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产品的质量要求、售后服务及损害赔偿</w:t>
      </w:r>
    </w:p>
    <w:p>
      <w:pPr>
        <w:keepNext w:val="0"/>
        <w:keepLines w:val="0"/>
        <w:pageBreakBefore w:val="0"/>
        <w:numPr>
          <w:ilvl w:val="0"/>
          <w:numId w:val="4"/>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按照</w:t>
      </w:r>
      <w:r>
        <w:rPr>
          <w:rFonts w:hint="eastAsia" w:ascii="宋体" w:hAnsi="宋体" w:eastAsia="宋体" w:cs="宋体"/>
          <w:kern w:val="0"/>
          <w:sz w:val="24"/>
          <w:szCs w:val="24"/>
          <w:highlight w:val="none"/>
        </w:rPr>
        <w:t>采购文件</w:t>
      </w:r>
      <w:r>
        <w:rPr>
          <w:rFonts w:hint="eastAsia" w:ascii="宋体" w:hAnsi="宋体" w:eastAsia="宋体" w:cs="宋体"/>
          <w:kern w:val="0"/>
          <w:sz w:val="24"/>
          <w:szCs w:val="24"/>
        </w:rPr>
        <w:t>、乙方的响应文件、澄清文件、成交通知书和合同约定的要求执行。</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360" w:lineRule="auto"/>
        <w:ind w:left="0" w:leftChars="0"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服务要求：</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spacing w:val="0"/>
          <w:kern w:val="0"/>
          <w:sz w:val="24"/>
          <w:szCs w:val="24"/>
        </w:rPr>
      </w:pPr>
      <w:r>
        <w:rPr>
          <w:rFonts w:hint="eastAsia" w:ascii="宋体" w:hAnsi="宋体" w:eastAsia="宋体" w:cs="宋体"/>
          <w:spacing w:val="0"/>
          <w:kern w:val="0"/>
          <w:sz w:val="24"/>
          <w:szCs w:val="24"/>
          <w:lang w:val="en-US" w:eastAsia="zh-CN"/>
        </w:rPr>
        <w:t>1、乙方</w:t>
      </w:r>
      <w:r>
        <w:rPr>
          <w:rFonts w:hint="eastAsia" w:ascii="宋体" w:hAnsi="宋体" w:eastAsia="宋体" w:cs="宋体"/>
          <w:spacing w:val="0"/>
          <w:kern w:val="0"/>
          <w:sz w:val="24"/>
          <w:szCs w:val="24"/>
        </w:rPr>
        <w:t>必须根据信息安全等级保护管理办法和</w:t>
      </w:r>
      <w:r>
        <w:rPr>
          <w:rFonts w:hint="eastAsia" w:ascii="宋体" w:hAnsi="宋体" w:eastAsia="宋体" w:cs="宋体"/>
          <w:spacing w:val="0"/>
          <w:kern w:val="0"/>
          <w:sz w:val="24"/>
          <w:szCs w:val="24"/>
          <w:lang w:val="en-US" w:eastAsia="zh-CN"/>
        </w:rPr>
        <w:t>甲方</w:t>
      </w:r>
      <w:r>
        <w:rPr>
          <w:rFonts w:hint="eastAsia" w:ascii="宋体" w:hAnsi="宋体" w:eastAsia="宋体" w:cs="宋体"/>
          <w:spacing w:val="0"/>
          <w:kern w:val="0"/>
          <w:sz w:val="24"/>
          <w:szCs w:val="24"/>
        </w:rPr>
        <w:t>要求，按第三方测评机构提供的等保测评详细安全问题汇总进行整改，并提供信息安全等级保护整改报告。包括以下1份整改报告：《江门市电子政务外网系统</w:t>
      </w:r>
      <w:r>
        <w:rPr>
          <w:rFonts w:hint="eastAsia" w:ascii="宋体" w:hAnsi="宋体" w:eastAsia="宋体" w:cs="宋体"/>
          <w:spacing w:val="0"/>
          <w:kern w:val="0"/>
          <w:sz w:val="24"/>
          <w:szCs w:val="24"/>
          <w:lang w:eastAsia="zh-CN"/>
        </w:rPr>
        <w:t>－</w:t>
      </w:r>
      <w:r>
        <w:rPr>
          <w:rFonts w:hint="eastAsia" w:ascii="宋体" w:hAnsi="宋体" w:eastAsia="宋体" w:cs="宋体"/>
          <w:spacing w:val="0"/>
          <w:kern w:val="0"/>
          <w:sz w:val="24"/>
          <w:szCs w:val="24"/>
        </w:rPr>
        <w:t>等保测评整改报告》。</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spacing w:val="0"/>
          <w:kern w:val="0"/>
          <w:sz w:val="24"/>
          <w:szCs w:val="24"/>
        </w:rPr>
      </w:pPr>
      <w:r>
        <w:rPr>
          <w:rFonts w:hint="eastAsia" w:ascii="宋体" w:hAnsi="宋体" w:eastAsia="宋体" w:cs="宋体"/>
          <w:spacing w:val="0"/>
          <w:kern w:val="0"/>
          <w:sz w:val="24"/>
          <w:szCs w:val="24"/>
          <w:lang w:val="en-US" w:eastAsia="zh-CN"/>
        </w:rPr>
        <w:t>2、</w:t>
      </w:r>
      <w:r>
        <w:rPr>
          <w:rFonts w:hint="eastAsia" w:ascii="宋体" w:hAnsi="宋体" w:eastAsia="宋体" w:cs="宋体"/>
          <w:spacing w:val="0"/>
          <w:kern w:val="0"/>
          <w:sz w:val="24"/>
          <w:szCs w:val="24"/>
          <w:lang w:eastAsia="zh-CN"/>
        </w:rPr>
        <w:t>乙方</w:t>
      </w:r>
      <w:r>
        <w:rPr>
          <w:rFonts w:hint="eastAsia" w:ascii="宋体" w:hAnsi="宋体" w:eastAsia="宋体" w:cs="宋体"/>
          <w:spacing w:val="0"/>
          <w:kern w:val="0"/>
          <w:sz w:val="24"/>
          <w:szCs w:val="24"/>
        </w:rPr>
        <w:t>需针对</w:t>
      </w:r>
      <w:r>
        <w:rPr>
          <w:rFonts w:hint="eastAsia" w:ascii="宋体" w:hAnsi="宋体" w:eastAsia="宋体" w:cs="宋体"/>
          <w:spacing w:val="0"/>
          <w:kern w:val="0"/>
          <w:sz w:val="24"/>
          <w:szCs w:val="24"/>
          <w:lang w:eastAsia="zh-CN"/>
        </w:rPr>
        <w:t>甲方</w:t>
      </w:r>
      <w:r>
        <w:rPr>
          <w:rFonts w:hint="eastAsia" w:ascii="宋体" w:hAnsi="宋体" w:eastAsia="宋体" w:cs="宋体"/>
          <w:spacing w:val="0"/>
          <w:kern w:val="0"/>
          <w:sz w:val="24"/>
          <w:szCs w:val="24"/>
        </w:rPr>
        <w:t>实际情况，编制项目开展、实施、计划及保障等方案，并在报价时一并提交给</w:t>
      </w:r>
      <w:r>
        <w:rPr>
          <w:rFonts w:hint="eastAsia" w:ascii="宋体" w:hAnsi="宋体" w:eastAsia="宋体" w:cs="宋体"/>
          <w:spacing w:val="0"/>
          <w:kern w:val="0"/>
          <w:sz w:val="24"/>
          <w:szCs w:val="24"/>
          <w:lang w:eastAsia="zh-CN"/>
        </w:rPr>
        <w:t>甲方</w:t>
      </w:r>
      <w:r>
        <w:rPr>
          <w:rFonts w:hint="eastAsia" w:ascii="宋体" w:hAnsi="宋体" w:eastAsia="宋体" w:cs="宋体"/>
          <w:spacing w:val="0"/>
          <w:kern w:val="0"/>
          <w:sz w:val="24"/>
          <w:szCs w:val="24"/>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spacing w:val="0"/>
          <w:kern w:val="0"/>
          <w:sz w:val="24"/>
          <w:szCs w:val="24"/>
        </w:rPr>
      </w:pPr>
      <w:r>
        <w:rPr>
          <w:rFonts w:hint="eastAsia" w:ascii="宋体" w:hAnsi="宋体" w:eastAsia="宋体" w:cs="宋体"/>
          <w:spacing w:val="0"/>
          <w:kern w:val="0"/>
          <w:sz w:val="24"/>
          <w:szCs w:val="24"/>
          <w:lang w:val="en-US" w:eastAsia="zh-CN"/>
        </w:rPr>
        <w:t>3、</w:t>
      </w:r>
      <w:r>
        <w:rPr>
          <w:rFonts w:hint="eastAsia" w:ascii="宋体" w:hAnsi="宋体" w:eastAsia="宋体" w:cs="宋体"/>
          <w:spacing w:val="0"/>
          <w:kern w:val="0"/>
          <w:sz w:val="24"/>
          <w:szCs w:val="24"/>
          <w:lang w:eastAsia="zh-CN"/>
        </w:rPr>
        <w:t>乙方</w:t>
      </w:r>
      <w:r>
        <w:rPr>
          <w:rFonts w:hint="eastAsia" w:ascii="宋体" w:hAnsi="宋体" w:eastAsia="宋体" w:cs="宋体"/>
          <w:spacing w:val="0"/>
          <w:kern w:val="0"/>
          <w:sz w:val="24"/>
          <w:szCs w:val="24"/>
        </w:rPr>
        <w:t>需开展符合国家规定的信息安全等级保护整改工作，协助第三方测评机构出具符合市级公安机关要求的信息安全等级测评报告。</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spacing w:val="0"/>
          <w:kern w:val="0"/>
          <w:sz w:val="24"/>
          <w:szCs w:val="24"/>
          <w:lang w:val="en-US" w:eastAsia="zh-CN"/>
        </w:rPr>
      </w:pPr>
      <w:r>
        <w:rPr>
          <w:rFonts w:hint="eastAsia" w:ascii="宋体" w:hAnsi="宋体" w:eastAsia="宋体" w:cs="宋体"/>
          <w:spacing w:val="0"/>
          <w:kern w:val="0"/>
          <w:sz w:val="24"/>
          <w:szCs w:val="24"/>
          <w:lang w:val="en-US" w:eastAsia="zh-CN"/>
        </w:rPr>
        <w:t>4、乙方须有可随时上门作维修及检测的工程师，设备出现故障时能按照故障等级分类的时间段内上门维修。</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spacing w:val="0"/>
          <w:kern w:val="0"/>
          <w:sz w:val="24"/>
          <w:szCs w:val="24"/>
          <w:lang w:val="en-US" w:eastAsia="zh-CN"/>
        </w:rPr>
      </w:pPr>
      <w:r>
        <w:rPr>
          <w:rFonts w:hint="eastAsia" w:ascii="宋体" w:hAnsi="宋体" w:eastAsia="宋体" w:cs="宋体"/>
          <w:spacing w:val="0"/>
          <w:kern w:val="0"/>
          <w:sz w:val="24"/>
          <w:szCs w:val="24"/>
          <w:lang w:val="en-US" w:eastAsia="zh-CN"/>
        </w:rPr>
        <w:t>5、在本期服务有效期内，乙方须负责提供技术咨询及设备维护。</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spacing w:val="0"/>
          <w:kern w:val="0"/>
          <w:sz w:val="24"/>
          <w:szCs w:val="24"/>
          <w:lang w:val="en-US" w:eastAsia="zh-CN"/>
        </w:rPr>
      </w:pPr>
      <w:r>
        <w:rPr>
          <w:rFonts w:hint="eastAsia" w:ascii="宋体" w:hAnsi="宋体" w:eastAsia="宋体" w:cs="宋体"/>
          <w:spacing w:val="0"/>
          <w:kern w:val="0"/>
          <w:sz w:val="24"/>
          <w:szCs w:val="24"/>
          <w:lang w:val="en-US" w:eastAsia="zh-CN"/>
        </w:rPr>
        <w:t>6、乙方负责现场或厂家培训甲方有关人员，使其掌握操作技术。</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360" w:lineRule="auto"/>
        <w:ind w:left="0" w:leftChars="0"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如因乙方产品（或服务）自身质量或设计失误等乙方原因，导致甲方损失，乙方应予以赔偿。乙方应及时采取措施，尽一切合理的努力来减轻带给甲方的影响及造成的损失，如乙方未及时采取有效措施导致影响及损失扩大的，乙方也应承担该部分责任。</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服务期</w:t>
      </w:r>
    </w:p>
    <w:p>
      <w:pPr>
        <w:keepNext w:val="0"/>
        <w:keepLines w:val="0"/>
        <w:pageBreakBefore w:val="0"/>
        <w:kinsoku/>
        <w:wordWrap/>
        <w:overflowPunct/>
        <w:topLinePunct w:val="0"/>
        <w:autoSpaceDE/>
        <w:autoSpaceDN/>
        <w:bidi w:val="0"/>
        <w:adjustRightInd/>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服务</w:t>
      </w:r>
      <w:r>
        <w:rPr>
          <w:rFonts w:hint="eastAsia" w:ascii="宋体" w:hAnsi="宋体" w:eastAsia="宋体" w:cs="宋体"/>
          <w:kern w:val="0"/>
          <w:sz w:val="24"/>
          <w:szCs w:val="24"/>
        </w:rPr>
        <w:t>期：</w:t>
      </w:r>
      <w:r>
        <w:rPr>
          <w:rFonts w:hint="eastAsia" w:ascii="宋体" w:hAnsi="宋体" w:eastAsia="宋体" w:cs="宋体"/>
          <w:kern w:val="0"/>
          <w:sz w:val="24"/>
          <w:szCs w:val="24"/>
          <w:lang w:eastAsia="zh-Hans"/>
        </w:rPr>
        <w:t>自合同签订生效之日起</w:t>
      </w:r>
      <w:r>
        <w:rPr>
          <w:rFonts w:hint="eastAsia" w:ascii="宋体" w:hAnsi="宋体" w:eastAsia="宋体" w:cs="宋体"/>
          <w:kern w:val="0"/>
          <w:sz w:val="24"/>
          <w:szCs w:val="24"/>
        </w:rPr>
        <w:t>90个工作日内完成系统整改。</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货款的结算</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具体结算方式：</w:t>
      </w:r>
      <w:r>
        <w:rPr>
          <w:rFonts w:hint="eastAsia" w:ascii="宋体" w:hAnsi="宋体" w:eastAsia="宋体" w:cs="宋体"/>
          <w:kern w:val="0"/>
          <w:sz w:val="24"/>
          <w:szCs w:val="24"/>
          <w:lang w:val="en-US" w:eastAsia="zh-CN"/>
        </w:rPr>
        <w:t>分期付款</w:t>
      </w:r>
    </w:p>
    <w:p>
      <w:pPr>
        <w:pStyle w:val="14"/>
        <w:keepNext w:val="0"/>
        <w:keepLines w:val="0"/>
        <w:pageBreakBefore w:val="0"/>
        <w:numPr>
          <w:ilvl w:val="0"/>
          <w:numId w:val="5"/>
        </w:numPr>
        <w:kinsoku/>
        <w:wordWrap/>
        <w:overflowPunct/>
        <w:topLinePunct w:val="0"/>
        <w:bidi w:val="0"/>
        <w:snapToGrid/>
        <w:spacing w:line="360" w:lineRule="auto"/>
        <w:ind w:left="0" w:leftChars="0"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首付款：项目合同签订生效且</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向</w:t>
      </w:r>
      <w:r>
        <w:rPr>
          <w:rFonts w:hint="eastAsia" w:ascii="宋体" w:hAnsi="宋体" w:eastAsia="宋体" w:cs="宋体"/>
          <w:kern w:val="0"/>
          <w:sz w:val="24"/>
          <w:szCs w:val="24"/>
          <w:lang w:val="en-US" w:eastAsia="zh-CN"/>
        </w:rPr>
        <w:t>甲方</w:t>
      </w:r>
      <w:r>
        <w:rPr>
          <w:rFonts w:hint="eastAsia" w:ascii="宋体" w:hAnsi="宋体" w:eastAsia="宋体" w:cs="宋体"/>
          <w:kern w:val="0"/>
          <w:sz w:val="24"/>
          <w:szCs w:val="24"/>
        </w:rPr>
        <w:t>提供</w:t>
      </w:r>
      <w:r>
        <w:rPr>
          <w:rFonts w:hint="eastAsia" w:ascii="宋体" w:hAnsi="宋体" w:eastAsia="宋体" w:cs="宋体"/>
          <w:kern w:val="0"/>
          <w:sz w:val="24"/>
          <w:szCs w:val="24"/>
          <w:lang w:eastAsia="zh-CN"/>
        </w:rPr>
        <w:t>符合</w:t>
      </w:r>
      <w:r>
        <w:rPr>
          <w:rFonts w:hint="eastAsia" w:ascii="宋体" w:hAnsi="宋体" w:eastAsia="宋体" w:cs="宋体"/>
          <w:kern w:val="0"/>
          <w:sz w:val="24"/>
          <w:szCs w:val="24"/>
        </w:rPr>
        <w:t>国家财务规定的</w:t>
      </w:r>
      <w:r>
        <w:rPr>
          <w:rFonts w:hint="eastAsia" w:ascii="宋体" w:hAnsi="宋体" w:eastAsia="宋体" w:cs="宋体"/>
          <w:kern w:val="0"/>
          <w:sz w:val="24"/>
          <w:szCs w:val="24"/>
          <w:lang w:val="en-US" w:eastAsia="zh-CN"/>
        </w:rPr>
        <w:t>增值税专用</w:t>
      </w:r>
      <w:r>
        <w:rPr>
          <w:rFonts w:hint="eastAsia" w:ascii="宋体" w:hAnsi="宋体" w:eastAsia="宋体" w:cs="宋体"/>
          <w:kern w:val="0"/>
          <w:sz w:val="24"/>
          <w:szCs w:val="24"/>
        </w:rPr>
        <w:t>发票后，</w:t>
      </w:r>
      <w:r>
        <w:rPr>
          <w:rFonts w:hint="eastAsia" w:ascii="宋体" w:hAnsi="宋体" w:eastAsia="宋体" w:cs="宋体"/>
          <w:kern w:val="0"/>
          <w:sz w:val="24"/>
          <w:szCs w:val="24"/>
          <w:lang w:val="en-US" w:eastAsia="zh-CN"/>
        </w:rPr>
        <w:t>甲方</w:t>
      </w:r>
      <w:r>
        <w:rPr>
          <w:rFonts w:hint="eastAsia" w:ascii="宋体" w:hAnsi="宋体" w:eastAsia="宋体" w:cs="宋体"/>
          <w:kern w:val="0"/>
          <w:sz w:val="24"/>
          <w:szCs w:val="24"/>
        </w:rPr>
        <w:t>办理付款手续，</w:t>
      </w:r>
      <w:r>
        <w:rPr>
          <w:rFonts w:hint="eastAsia" w:ascii="宋体" w:hAnsi="宋体" w:cs="宋体"/>
          <w:kern w:val="0"/>
          <w:sz w:val="24"/>
          <w:szCs w:val="24"/>
          <w:lang w:val="en-US" w:eastAsia="zh-CN"/>
        </w:rPr>
        <w:t>视资金到位情况，向乙方</w:t>
      </w:r>
      <w:r>
        <w:rPr>
          <w:rFonts w:hint="eastAsia" w:ascii="宋体" w:hAnsi="宋体" w:eastAsia="宋体" w:cs="宋体"/>
          <w:kern w:val="0"/>
          <w:sz w:val="24"/>
          <w:szCs w:val="24"/>
        </w:rPr>
        <w:t>支付本项目总额40%作为首期款；</w:t>
      </w:r>
    </w:p>
    <w:p>
      <w:pPr>
        <w:pStyle w:val="14"/>
        <w:keepNext w:val="0"/>
        <w:keepLines w:val="0"/>
        <w:pageBreakBefore w:val="0"/>
        <w:numPr>
          <w:ilvl w:val="0"/>
          <w:numId w:val="5"/>
        </w:numPr>
        <w:kinsoku/>
        <w:wordWrap/>
        <w:overflowPunct/>
        <w:topLinePunct w:val="0"/>
        <w:bidi w:val="0"/>
        <w:snapToGrid/>
        <w:spacing w:line="360" w:lineRule="auto"/>
        <w:ind w:left="0" w:leftChars="0"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进度款：本项目所购买的设备到货，经</w:t>
      </w:r>
      <w:r>
        <w:rPr>
          <w:rFonts w:hint="eastAsia" w:ascii="宋体" w:hAnsi="宋体" w:eastAsia="宋体" w:cs="宋体"/>
          <w:kern w:val="0"/>
          <w:sz w:val="24"/>
          <w:szCs w:val="24"/>
          <w:lang w:val="en-US" w:eastAsia="zh-CN"/>
        </w:rPr>
        <w:t>甲方</w:t>
      </w:r>
      <w:r>
        <w:rPr>
          <w:rFonts w:hint="eastAsia" w:ascii="宋体" w:hAnsi="宋体" w:eastAsia="宋体" w:cs="宋体"/>
          <w:kern w:val="0"/>
          <w:sz w:val="24"/>
          <w:szCs w:val="24"/>
        </w:rPr>
        <w:t>和使用单位签收确认后，</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可向</w:t>
      </w:r>
      <w:r>
        <w:rPr>
          <w:rFonts w:hint="eastAsia" w:ascii="宋体" w:hAnsi="宋体" w:eastAsia="宋体" w:cs="宋体"/>
          <w:kern w:val="0"/>
          <w:sz w:val="24"/>
          <w:szCs w:val="24"/>
          <w:lang w:val="en-US" w:eastAsia="zh-CN"/>
        </w:rPr>
        <w:t>甲方</w:t>
      </w:r>
      <w:r>
        <w:rPr>
          <w:rFonts w:hint="eastAsia" w:ascii="宋体" w:hAnsi="宋体" w:eastAsia="宋体" w:cs="宋体"/>
          <w:kern w:val="0"/>
          <w:sz w:val="24"/>
          <w:szCs w:val="24"/>
        </w:rPr>
        <w:t>提供符合国家财务规定的</w:t>
      </w:r>
      <w:r>
        <w:rPr>
          <w:rFonts w:hint="eastAsia" w:ascii="宋体" w:hAnsi="宋体" w:eastAsia="宋体" w:cs="宋体"/>
          <w:kern w:val="0"/>
          <w:sz w:val="24"/>
          <w:szCs w:val="24"/>
          <w:lang w:val="en-US" w:eastAsia="zh-CN"/>
        </w:rPr>
        <w:t>增值税专用</w:t>
      </w:r>
      <w:r>
        <w:rPr>
          <w:rFonts w:hint="eastAsia" w:ascii="宋体" w:hAnsi="宋体" w:eastAsia="宋体" w:cs="宋体"/>
          <w:kern w:val="0"/>
          <w:sz w:val="24"/>
          <w:szCs w:val="24"/>
        </w:rPr>
        <w:t>发票办理申请付款手续，</w:t>
      </w:r>
      <w:r>
        <w:rPr>
          <w:rFonts w:hint="eastAsia" w:ascii="宋体" w:hAnsi="宋体" w:cs="宋体"/>
          <w:kern w:val="0"/>
          <w:sz w:val="24"/>
          <w:szCs w:val="24"/>
          <w:lang w:val="en-US" w:eastAsia="zh-CN"/>
        </w:rPr>
        <w:t>视资金到位情况，向乙方</w:t>
      </w:r>
      <w:r>
        <w:rPr>
          <w:rFonts w:hint="eastAsia" w:ascii="宋体" w:hAnsi="宋体" w:eastAsia="宋体" w:cs="宋体"/>
          <w:kern w:val="0"/>
          <w:sz w:val="24"/>
          <w:szCs w:val="24"/>
        </w:rPr>
        <w:t>支付本项目总额50%作为进度款；</w:t>
      </w:r>
    </w:p>
    <w:p>
      <w:pPr>
        <w:keepNext w:val="0"/>
        <w:keepLines w:val="0"/>
        <w:pageBreakBefore w:val="0"/>
        <w:numPr>
          <w:ilvl w:val="0"/>
          <w:numId w:val="5"/>
        </w:numPr>
        <w:kinsoku/>
        <w:wordWrap/>
        <w:overflowPunct/>
        <w:topLinePunct w:val="0"/>
        <w:bidi w:val="0"/>
        <w:snapToGrid/>
        <w:spacing w:line="360" w:lineRule="auto"/>
        <w:ind w:left="0" w:leftChars="0"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尾款：本项目涉及的江门市电子政务外网系统等保整改完成并验收合格后，</w:t>
      </w:r>
      <w:r>
        <w:rPr>
          <w:rFonts w:hint="eastAsia" w:ascii="宋体" w:hAnsi="宋体" w:eastAsia="宋体" w:cs="宋体"/>
          <w:kern w:val="0"/>
          <w:sz w:val="24"/>
          <w:szCs w:val="24"/>
          <w:lang w:val="en-US" w:eastAsia="zh-CN"/>
        </w:rPr>
        <w:t>且甲方</w:t>
      </w:r>
      <w:r>
        <w:rPr>
          <w:rFonts w:hint="eastAsia" w:ascii="宋体" w:hAnsi="宋体" w:eastAsia="宋体" w:cs="宋体"/>
          <w:kern w:val="0"/>
          <w:sz w:val="24"/>
          <w:szCs w:val="24"/>
        </w:rPr>
        <w:t>收到</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提供的发票20个工作日内，</w:t>
      </w:r>
      <w:r>
        <w:rPr>
          <w:rFonts w:hint="eastAsia" w:ascii="宋体" w:hAnsi="宋体" w:cs="宋体"/>
          <w:kern w:val="0"/>
          <w:sz w:val="24"/>
          <w:szCs w:val="24"/>
          <w:lang w:val="en-US" w:eastAsia="zh-CN"/>
        </w:rPr>
        <w:t>视资金到位情况，向乙方</w:t>
      </w:r>
      <w:r>
        <w:rPr>
          <w:rFonts w:hint="eastAsia" w:ascii="宋体" w:hAnsi="宋体" w:eastAsia="宋体" w:cs="宋体"/>
          <w:kern w:val="0"/>
          <w:sz w:val="24"/>
          <w:szCs w:val="24"/>
        </w:rPr>
        <w:t>支付本项目剩余款项。</w:t>
      </w:r>
    </w:p>
    <w:p>
      <w:pPr>
        <w:keepNext w:val="0"/>
        <w:keepLines w:val="0"/>
        <w:pageBreakBefore w:val="0"/>
        <w:numPr>
          <w:ilvl w:val="0"/>
          <w:numId w:val="5"/>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eastAsia="zh-CN"/>
        </w:rPr>
        <w:t>乙方未按约定提供发票的，甲方有权拒绝付款且不承担违约责任，</w:t>
      </w:r>
      <w:r>
        <w:rPr>
          <w:rFonts w:hint="eastAsia" w:ascii="宋体" w:hAnsi="宋体" w:eastAsia="宋体" w:cs="宋体"/>
          <w:kern w:val="0"/>
          <w:sz w:val="24"/>
          <w:szCs w:val="24"/>
          <w:lang w:val="en-US" w:eastAsia="zh-CN"/>
        </w:rPr>
        <w:t>乙方不得以此为由拒绝或延迟履行义务。</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验收方式</w:t>
      </w:r>
    </w:p>
    <w:p>
      <w:pPr>
        <w:keepNext w:val="0"/>
        <w:keepLines w:val="0"/>
        <w:pageBreakBefore w:val="0"/>
        <w:numPr>
          <w:ilvl w:val="0"/>
          <w:numId w:val="6"/>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验收时间：完成全部服务后进行项目验收。</w:t>
      </w:r>
    </w:p>
    <w:p>
      <w:pPr>
        <w:keepNext w:val="0"/>
        <w:keepLines w:val="0"/>
        <w:pageBreakBefore w:val="0"/>
        <w:numPr>
          <w:ilvl w:val="0"/>
          <w:numId w:val="6"/>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验收方法：甲方派遣有经验有能力的人员检验产品和工程、服务的质量和指标。</w:t>
      </w:r>
    </w:p>
    <w:p>
      <w:pPr>
        <w:keepNext w:val="0"/>
        <w:keepLines w:val="0"/>
        <w:pageBreakBefore w:val="0"/>
        <w:numPr>
          <w:ilvl w:val="0"/>
          <w:numId w:val="6"/>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验收标准：按国家、广东省相关政策与最新技术标准与技术规范进行验收；符合</w:t>
      </w:r>
      <w:r>
        <w:rPr>
          <w:rFonts w:hint="eastAsia" w:ascii="宋体" w:hAnsi="宋体" w:eastAsia="宋体" w:cs="宋体"/>
          <w:kern w:val="0"/>
          <w:sz w:val="24"/>
          <w:szCs w:val="24"/>
          <w:lang w:eastAsia="zh-CN"/>
        </w:rPr>
        <w:t>采购</w:t>
      </w:r>
      <w:r>
        <w:rPr>
          <w:rFonts w:hint="eastAsia" w:ascii="宋体" w:hAnsi="宋体" w:eastAsia="宋体" w:cs="宋体"/>
          <w:kern w:val="0"/>
          <w:sz w:val="24"/>
          <w:szCs w:val="24"/>
        </w:rPr>
        <w:t>文件、乙方的</w:t>
      </w:r>
      <w:r>
        <w:rPr>
          <w:rFonts w:hint="eastAsia" w:ascii="宋体" w:hAnsi="宋体" w:eastAsia="宋体" w:cs="宋体"/>
          <w:kern w:val="0"/>
          <w:sz w:val="24"/>
          <w:szCs w:val="24"/>
          <w:lang w:eastAsia="zh-CN"/>
        </w:rPr>
        <w:t>响应</w:t>
      </w:r>
      <w:r>
        <w:rPr>
          <w:rFonts w:hint="eastAsia" w:ascii="宋体" w:hAnsi="宋体" w:eastAsia="宋体" w:cs="宋体"/>
          <w:kern w:val="0"/>
          <w:sz w:val="24"/>
          <w:szCs w:val="24"/>
        </w:rPr>
        <w:t>文件、澄清、说明或者补正文件和</w:t>
      </w:r>
      <w:r>
        <w:rPr>
          <w:rFonts w:hint="eastAsia" w:ascii="宋体" w:hAnsi="宋体" w:eastAsia="宋体" w:cs="宋体"/>
          <w:kern w:val="0"/>
          <w:sz w:val="24"/>
          <w:szCs w:val="24"/>
          <w:lang w:eastAsia="zh-CN"/>
        </w:rPr>
        <w:t>成交</w:t>
      </w:r>
      <w:r>
        <w:rPr>
          <w:rFonts w:hint="eastAsia" w:ascii="宋体" w:hAnsi="宋体" w:eastAsia="宋体" w:cs="宋体"/>
          <w:kern w:val="0"/>
          <w:sz w:val="24"/>
          <w:szCs w:val="24"/>
        </w:rPr>
        <w:t>通知书的要求；单证齐全，有产品合格证（或质量保证书）、发票</w:t>
      </w:r>
      <w:r>
        <w:rPr>
          <w:rFonts w:hint="eastAsia" w:ascii="宋体" w:hAnsi="宋体" w:eastAsia="宋体" w:cs="宋体"/>
          <w:kern w:val="0"/>
          <w:sz w:val="24"/>
          <w:szCs w:val="24"/>
          <w:lang w:eastAsia="zh-CN"/>
        </w:rPr>
        <w:t>和其他</w:t>
      </w:r>
      <w:r>
        <w:rPr>
          <w:rFonts w:hint="eastAsia" w:ascii="宋体" w:hAnsi="宋体" w:eastAsia="宋体" w:cs="宋体"/>
          <w:kern w:val="0"/>
          <w:sz w:val="24"/>
          <w:szCs w:val="24"/>
        </w:rPr>
        <w:t>应当具有单证文件</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验收文档齐全，符合《江门市政务信息化服务项目验收工作指引（试行）》的要求。</w:t>
      </w:r>
    </w:p>
    <w:p>
      <w:pPr>
        <w:keepNext w:val="0"/>
        <w:keepLines w:val="0"/>
        <w:pageBreakBefore w:val="0"/>
        <w:numPr>
          <w:ilvl w:val="0"/>
          <w:numId w:val="6"/>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服务成果包括但不限于：</w:t>
      </w:r>
      <w:r>
        <w:rPr>
          <w:rFonts w:hint="eastAsia" w:ascii="宋体" w:hAnsi="宋体" w:eastAsia="宋体" w:cs="宋体"/>
          <w:kern w:val="0"/>
          <w:sz w:val="24"/>
          <w:szCs w:val="24"/>
          <w:lang w:val="en-US" w:eastAsia="zh-CN"/>
        </w:rPr>
        <w:t>项目</w:t>
      </w:r>
      <w:r>
        <w:rPr>
          <w:rFonts w:hint="eastAsia" w:ascii="宋体" w:hAnsi="宋体" w:eastAsia="宋体" w:cs="宋体"/>
          <w:kern w:val="0"/>
          <w:sz w:val="24"/>
          <w:szCs w:val="24"/>
        </w:rPr>
        <w:t>月报、故障处理报告（如没发生故障则不需提供）、季度服务报告等。</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对服务异议的时间和办法</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rPr>
        <w:t>一</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甲方在验收中，如果发现产品的品种、型号、数量、规格、质量或有关软件及有关工程或服务不合规定的，应在三十日内向乙方提出书面异议。</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rPr>
        <w:t>二</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乙方在接到甲方书面异议后，应在三十天内</w:t>
      </w:r>
      <w:r>
        <w:rPr>
          <w:rFonts w:hint="eastAsia" w:ascii="宋体" w:hAnsi="宋体" w:eastAsia="宋体" w:cs="宋体"/>
          <w:kern w:val="0"/>
          <w:sz w:val="24"/>
          <w:szCs w:val="24"/>
          <w:lang w:eastAsia="zh-CN"/>
        </w:rPr>
        <w:t>做出</w:t>
      </w:r>
      <w:r>
        <w:rPr>
          <w:rFonts w:hint="eastAsia" w:ascii="宋体" w:hAnsi="宋体" w:eastAsia="宋体" w:cs="宋体"/>
          <w:kern w:val="0"/>
          <w:sz w:val="24"/>
          <w:szCs w:val="24"/>
        </w:rPr>
        <w:t>答复处理</w:t>
      </w:r>
      <w:r>
        <w:rPr>
          <w:rFonts w:hint="eastAsia" w:ascii="宋体" w:hAnsi="宋体" w:eastAsia="宋体" w:cs="宋体"/>
          <w:kern w:val="0"/>
          <w:sz w:val="24"/>
          <w:szCs w:val="24"/>
          <w:lang w:eastAsia="zh-CN"/>
        </w:rPr>
        <w:t>。</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甲方权利</w:t>
      </w:r>
    </w:p>
    <w:p>
      <w:pPr>
        <w:pStyle w:val="2"/>
        <w:keepNext w:val="0"/>
        <w:keepLines w:val="0"/>
        <w:pageBreakBefore w:val="0"/>
        <w:numPr>
          <w:ilvl w:val="0"/>
          <w:numId w:val="7"/>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甲方有自行或委托第三方机构，对乙方提供的本项目的服务进行监管的权利。</w:t>
      </w:r>
    </w:p>
    <w:p>
      <w:pPr>
        <w:pStyle w:val="2"/>
        <w:keepNext w:val="0"/>
        <w:keepLines w:val="0"/>
        <w:pageBreakBefore w:val="0"/>
        <w:numPr>
          <w:ilvl w:val="0"/>
          <w:numId w:val="7"/>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甲方有自行或委托第三方机构，对乙方的建设、运维管理、安全、质量、服务状况进行定期评估考核的权利。</w:t>
      </w:r>
    </w:p>
    <w:p>
      <w:pPr>
        <w:pStyle w:val="2"/>
        <w:keepNext w:val="0"/>
        <w:keepLines w:val="0"/>
        <w:pageBreakBefore w:val="0"/>
        <w:numPr>
          <w:ilvl w:val="0"/>
          <w:numId w:val="7"/>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乙方因自身原因导致合同无法继续履行，则视为乙方违约，甲方有权单方解除合同。</w:t>
      </w:r>
    </w:p>
    <w:p>
      <w:pPr>
        <w:pStyle w:val="2"/>
        <w:keepNext w:val="0"/>
        <w:keepLines w:val="0"/>
        <w:pageBreakBefore w:val="0"/>
        <w:numPr>
          <w:ilvl w:val="0"/>
          <w:numId w:val="7"/>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法律、法规授予甲方的其他权利</w:t>
      </w:r>
      <w:r>
        <w:rPr>
          <w:rFonts w:hint="eastAsia" w:ascii="宋体" w:hAnsi="宋体" w:eastAsia="宋体" w:cs="宋体"/>
          <w:sz w:val="24"/>
          <w:szCs w:val="24"/>
          <w:lang w:eastAsia="zh-CN"/>
        </w:rPr>
        <w:t>。</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甲方义务</w:t>
      </w:r>
    </w:p>
    <w:p>
      <w:pPr>
        <w:pStyle w:val="2"/>
        <w:keepNext w:val="0"/>
        <w:keepLines w:val="0"/>
        <w:pageBreakBefore w:val="0"/>
        <w:numPr>
          <w:ilvl w:val="-1"/>
          <w:numId w:val="0"/>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 xml:space="preserve">甲方负责向乙方提供项目设计开发所需资料 </w:t>
      </w:r>
      <w:r>
        <w:rPr>
          <w:rFonts w:hint="eastAsia" w:ascii="宋体" w:hAnsi="宋体" w:eastAsia="宋体" w:cs="宋体"/>
          <w:sz w:val="24"/>
          <w:szCs w:val="24"/>
          <w:lang w:eastAsia="zh-CN"/>
        </w:rPr>
        <w:t>（</w:t>
      </w:r>
      <w:r>
        <w:rPr>
          <w:rFonts w:hint="eastAsia" w:ascii="宋体" w:hAnsi="宋体" w:eastAsia="宋体" w:cs="宋体"/>
          <w:sz w:val="24"/>
          <w:szCs w:val="24"/>
        </w:rPr>
        <w:t>图片文字等</w:t>
      </w:r>
      <w:r>
        <w:rPr>
          <w:rFonts w:hint="eastAsia" w:ascii="宋体" w:hAnsi="宋体" w:eastAsia="宋体" w:cs="宋体"/>
          <w:sz w:val="24"/>
          <w:szCs w:val="24"/>
          <w:lang w:eastAsia="zh-CN"/>
        </w:rPr>
        <w:t>）</w:t>
      </w:r>
      <w:r>
        <w:rPr>
          <w:rFonts w:hint="eastAsia" w:ascii="宋体" w:hAnsi="宋体" w:eastAsia="宋体" w:cs="宋体"/>
          <w:sz w:val="24"/>
          <w:szCs w:val="24"/>
        </w:rPr>
        <w:t>，并保证所提供资料的按时性和准确性。</w:t>
      </w:r>
    </w:p>
    <w:p>
      <w:pPr>
        <w:pStyle w:val="2"/>
        <w:keepNext w:val="0"/>
        <w:keepLines w:val="0"/>
        <w:pageBreakBefore w:val="0"/>
        <w:numPr>
          <w:ilvl w:val="-1"/>
          <w:numId w:val="0"/>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w:t>
      </w:r>
      <w:r>
        <w:rPr>
          <w:rFonts w:hint="eastAsia" w:ascii="宋体" w:hAnsi="宋体" w:eastAsia="宋体" w:cs="宋体"/>
          <w:sz w:val="24"/>
          <w:szCs w:val="24"/>
        </w:rPr>
        <w:t>依据乙方的申请，在不影响正常工作的前提下协助乙方及时获得本项目需要的合理、合法的条件，包括但不限于协调乙方与市直单位的工作关系，保障项目顺利实施和运营维护以及提供本项目所需水、电、服务场地、信息和数据等相关事宜。</w:t>
      </w:r>
    </w:p>
    <w:p>
      <w:pPr>
        <w:pStyle w:val="2"/>
        <w:keepNext w:val="0"/>
        <w:keepLines w:val="0"/>
        <w:pageBreakBefore w:val="0"/>
        <w:numPr>
          <w:ilvl w:val="-1"/>
          <w:numId w:val="0"/>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三</w:t>
      </w:r>
      <w:r>
        <w:rPr>
          <w:rFonts w:hint="eastAsia" w:ascii="宋体" w:hAnsi="宋体" w:eastAsia="宋体" w:cs="宋体"/>
          <w:sz w:val="24"/>
          <w:szCs w:val="24"/>
          <w:lang w:eastAsia="zh-CN"/>
        </w:rPr>
        <w:t>）</w:t>
      </w:r>
      <w:r>
        <w:rPr>
          <w:rFonts w:hint="eastAsia" w:ascii="宋体" w:hAnsi="宋体" w:eastAsia="宋体" w:cs="宋体"/>
          <w:sz w:val="24"/>
          <w:szCs w:val="24"/>
        </w:rPr>
        <w:t>甲方负责对项目的成果进行验收，按合同支付金额。</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乙方权利</w:t>
      </w:r>
    </w:p>
    <w:p>
      <w:pPr>
        <w:pStyle w:val="2"/>
        <w:keepNext w:val="0"/>
        <w:keepLines w:val="0"/>
        <w:pageBreakBefore w:val="0"/>
        <w:numPr>
          <w:ilvl w:val="0"/>
          <w:numId w:val="8"/>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乙方有权要求甲方按本合同的约定支付合同金额。</w:t>
      </w:r>
    </w:p>
    <w:p>
      <w:pPr>
        <w:pStyle w:val="2"/>
        <w:keepNext w:val="0"/>
        <w:keepLines w:val="0"/>
        <w:pageBreakBefore w:val="0"/>
        <w:numPr>
          <w:ilvl w:val="0"/>
          <w:numId w:val="8"/>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如果因不可归责于乙方的原因导致乙方不能履约的，则乙方有权和甲方就有关事宜进行沟通，如经甲方确认确属不可归责于乙方的原因，且乙方</w:t>
      </w:r>
      <w:r>
        <w:rPr>
          <w:rFonts w:hint="eastAsia" w:ascii="宋体" w:hAnsi="宋体" w:eastAsia="宋体" w:cs="宋体"/>
          <w:sz w:val="24"/>
          <w:szCs w:val="24"/>
          <w:lang w:eastAsia="zh-CN"/>
        </w:rPr>
        <w:t>已</w:t>
      </w:r>
      <w:r>
        <w:rPr>
          <w:rFonts w:hint="eastAsia" w:ascii="宋体" w:hAnsi="宋体" w:eastAsia="宋体" w:cs="宋体"/>
          <w:sz w:val="24"/>
          <w:szCs w:val="24"/>
        </w:rPr>
        <w:t>为避免此种情形采取必要的措施，则甲方出具相应的书面文件，确认不得以此作为对乙方考核不达标的依据，并不得追究乙方的违约责任。</w:t>
      </w:r>
    </w:p>
    <w:p>
      <w:pPr>
        <w:pStyle w:val="2"/>
        <w:keepNext w:val="0"/>
        <w:keepLines w:val="0"/>
        <w:pageBreakBefore w:val="0"/>
        <w:numPr>
          <w:ilvl w:val="0"/>
          <w:numId w:val="8"/>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法律、法规规定以及本合同规定的其他权利。</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乙方义务</w:t>
      </w:r>
    </w:p>
    <w:p>
      <w:pPr>
        <w:pStyle w:val="2"/>
        <w:keepNext w:val="0"/>
        <w:keepLines w:val="0"/>
        <w:pageBreakBefore w:val="0"/>
        <w:numPr>
          <w:ilvl w:val="0"/>
          <w:numId w:val="9"/>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按照本合同约定的进度、质量、安全标准完成本项目。接受甲方及市直各部门或其指定的第三方机构对本项目的监管、评估考核等</w:t>
      </w:r>
      <w:r>
        <w:rPr>
          <w:rFonts w:hint="eastAsia" w:ascii="宋体" w:hAnsi="宋体" w:eastAsia="宋体" w:cs="宋体"/>
          <w:sz w:val="24"/>
          <w:szCs w:val="24"/>
          <w:lang w:eastAsia="zh-CN"/>
        </w:rPr>
        <w:t>。</w:t>
      </w:r>
    </w:p>
    <w:p>
      <w:pPr>
        <w:pStyle w:val="2"/>
        <w:keepNext w:val="0"/>
        <w:keepLines w:val="0"/>
        <w:pageBreakBefore w:val="0"/>
        <w:numPr>
          <w:ilvl w:val="0"/>
          <w:numId w:val="9"/>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服务期内，如遇国家法律、法规及相关政策发生重大变化，对本合同的履行造成实质性的影响，乙方应积极与甲方协商解决，并采取合理措施避免各方的损失扩大。</w:t>
      </w:r>
    </w:p>
    <w:p>
      <w:pPr>
        <w:pStyle w:val="2"/>
        <w:keepNext w:val="0"/>
        <w:keepLines w:val="0"/>
        <w:pageBreakBefore w:val="0"/>
        <w:numPr>
          <w:ilvl w:val="0"/>
          <w:numId w:val="9"/>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加强对驻场人员管理，遵守甲方或市直各部门工作管理要求，接受工作指导和统一安排。</w:t>
      </w:r>
    </w:p>
    <w:p>
      <w:pPr>
        <w:pStyle w:val="2"/>
        <w:keepNext w:val="0"/>
        <w:keepLines w:val="0"/>
        <w:pageBreakBefore w:val="0"/>
        <w:numPr>
          <w:ilvl w:val="0"/>
          <w:numId w:val="9"/>
        </w:numPr>
        <w:kinsoku/>
        <w:wordWrap/>
        <w:overflowPunct/>
        <w:topLinePunct w:val="0"/>
        <w:bidi w:val="0"/>
        <w:snapToGrid/>
        <w:spacing w:after="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乙方保证其履约行为不侵犯任何第三方合法权益，否则产生的所有责任均由乙方承担，甲方不负任何责任。造成甲方损失的，乙方还应承担赔偿责任。</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乙方的违约责任</w:t>
      </w:r>
    </w:p>
    <w:p>
      <w:pPr>
        <w:keepNext w:val="0"/>
        <w:keepLines w:val="0"/>
        <w:pageBreakBefore w:val="0"/>
        <w:numPr>
          <w:ilvl w:val="0"/>
          <w:numId w:val="10"/>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乙方不能提供产品或服务的，甲方有权解除合同，不向乙方付款。乙方应向甲方偿付合同总价的5%作为违约金。违约金不足以弥补甲方损失的，乙方还应承担赔偿责任。</w:t>
      </w:r>
    </w:p>
    <w:p>
      <w:pPr>
        <w:keepNext w:val="0"/>
        <w:keepLines w:val="0"/>
        <w:pageBreakBefore w:val="0"/>
        <w:numPr>
          <w:ilvl w:val="0"/>
          <w:numId w:val="10"/>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乙方所交产品或服务等不符合合同规定，经政府采购监督管理部门调查核实，属有效投诉超过三次的，向甲方偿付合同总价的5%作为违约金。违约金不足以弥补甲方损失的，乙方还应承担赔偿责任</w:t>
      </w:r>
      <w:r>
        <w:rPr>
          <w:rFonts w:hint="eastAsia" w:ascii="宋体" w:hAnsi="宋体" w:eastAsia="宋体" w:cs="宋体"/>
          <w:kern w:val="0"/>
          <w:sz w:val="24"/>
          <w:szCs w:val="24"/>
          <w:lang w:eastAsia="zh-CN"/>
        </w:rPr>
        <w:t>。</w:t>
      </w:r>
    </w:p>
    <w:p>
      <w:pPr>
        <w:keepNext w:val="0"/>
        <w:keepLines w:val="0"/>
        <w:pageBreakBefore w:val="0"/>
        <w:numPr>
          <w:ilvl w:val="0"/>
          <w:numId w:val="10"/>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乙方因自身原因逾期提供产品或服务的，每日应向甲方偿付相应产品或服务金额的万分之一作为违约金</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逾期[10]日，甲方有权解除合同，乙方向甲方偿付合同总价的5%作为违约金。违约金不足以弥补甲方损失的，乙方还应承担违约责任，但违约金总额不得超过合同总价的千分之三。</w:t>
      </w:r>
    </w:p>
    <w:p>
      <w:pPr>
        <w:keepNext w:val="0"/>
        <w:keepLines w:val="0"/>
        <w:pageBreakBefore w:val="0"/>
        <w:numPr>
          <w:ilvl w:val="0"/>
          <w:numId w:val="10"/>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本合同无论因何原因解除、终止，乙方均应向甲方返还已收取但未履行及履行不符合约定部分的款项。</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甲方的违约责任</w:t>
      </w:r>
    </w:p>
    <w:p>
      <w:pPr>
        <w:keepNext w:val="0"/>
        <w:keepLines w:val="0"/>
        <w:pageBreakBefore w:val="0"/>
        <w:numPr>
          <w:ilvl w:val="0"/>
          <w:numId w:val="11"/>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甲方因自身原因逾期付款的，每日应向乙方偿付逾期未付款项的万分之一作为违约金。逾期付款超过</w:t>
      </w:r>
      <w:r>
        <w:rPr>
          <w:rFonts w:hint="eastAsia" w:ascii="宋体" w:hAnsi="宋体" w:eastAsia="宋体" w:cs="宋体"/>
          <w:kern w:val="0"/>
          <w:sz w:val="24"/>
          <w:szCs w:val="24"/>
          <w:lang w:val="en-US" w:eastAsia="zh-CN"/>
        </w:rPr>
        <w:t>10个日历日</w:t>
      </w:r>
      <w:r>
        <w:rPr>
          <w:rFonts w:hint="eastAsia" w:ascii="宋体" w:hAnsi="宋体" w:eastAsia="宋体" w:cs="宋体"/>
          <w:kern w:val="0"/>
          <w:sz w:val="24"/>
          <w:szCs w:val="24"/>
        </w:rPr>
        <w:t>，乙方有权解除合同，甲方向乙方偿付合同总价的5%作为违约金。</w:t>
      </w:r>
    </w:p>
    <w:p>
      <w:pPr>
        <w:keepNext w:val="0"/>
        <w:keepLines w:val="0"/>
        <w:pageBreakBefore w:val="0"/>
        <w:numPr>
          <w:ilvl w:val="0"/>
          <w:numId w:val="11"/>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甲方违反合同规定拒绝接受产品或服务的，经乙方书面通知后仍拒绝接受产品或服务的，应向乙方偿付合同总价的5%作为违约金</w:t>
      </w:r>
      <w:r>
        <w:rPr>
          <w:rFonts w:hint="eastAsia" w:ascii="宋体" w:hAnsi="宋体" w:eastAsia="宋体" w:cs="宋体"/>
          <w:kern w:val="0"/>
          <w:sz w:val="24"/>
          <w:szCs w:val="24"/>
          <w:lang w:eastAsia="zh-CN"/>
        </w:rPr>
        <w:t>。</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保密要求</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乙方有义务遵守甲方的相关规章制度，对于相关保密信息将采取保密措施，确保其安全。在硬盘格式化、数据迁移前应提示使用人员做好数据备份工作。恪守商业道德，不浏览、不刺探、不盗用个人计算机中存储的涉密资料和个人私密性信息，并严格遵守国家对于保密相关的法律法规。若由于乙方原因造成信息泄露，并造成甲方损失的，乙方应赔偿甲方因此产生的直接损失与间接损失。该保密要求条款永久性有效，不因合同的解除、终止或无效而失效。</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不可抗力</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w:t>
      </w:r>
      <w:r>
        <w:rPr>
          <w:rFonts w:hint="eastAsia" w:ascii="宋体" w:hAnsi="宋体" w:eastAsia="宋体" w:cs="宋体"/>
          <w:kern w:val="0"/>
          <w:sz w:val="24"/>
          <w:szCs w:val="24"/>
          <w:lang w:eastAsia="zh-CN"/>
        </w:rPr>
        <w:t>免于</w:t>
      </w:r>
      <w:r>
        <w:rPr>
          <w:rFonts w:hint="eastAsia" w:ascii="宋体" w:hAnsi="宋体" w:eastAsia="宋体" w:cs="宋体"/>
          <w:kern w:val="0"/>
          <w:sz w:val="24"/>
          <w:szCs w:val="24"/>
        </w:rPr>
        <w:t>承担违约责任。</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争议的解决</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若执行本合同的过程中发生纠纷，双方当事人应当及时协商解决；协商不成时，可向甲方所在地有管辖权人民法院提起诉讼。</w:t>
      </w:r>
      <w:r>
        <w:rPr>
          <w:rFonts w:hint="eastAsia" w:ascii="宋体" w:hAnsi="宋体" w:eastAsia="宋体" w:cs="宋体"/>
          <w:kern w:val="0"/>
          <w:sz w:val="24"/>
          <w:szCs w:val="24"/>
          <w:lang w:eastAsia="zh-Hans"/>
        </w:rPr>
        <w:t>期间所产生的一切费用（包括但不限于诉讼费、保全费、律师费等）均由</w:t>
      </w:r>
      <w:r>
        <w:rPr>
          <w:rFonts w:hint="eastAsia" w:ascii="宋体" w:hAnsi="宋体" w:eastAsia="宋体" w:cs="宋体"/>
          <w:kern w:val="0"/>
          <w:sz w:val="24"/>
          <w:szCs w:val="24"/>
          <w:lang w:val="en-US" w:eastAsia="zh-CN"/>
        </w:rPr>
        <w:t>违约方</w:t>
      </w:r>
      <w:r>
        <w:rPr>
          <w:rFonts w:hint="eastAsia" w:ascii="宋体" w:hAnsi="宋体" w:eastAsia="宋体" w:cs="宋体"/>
          <w:kern w:val="0"/>
          <w:sz w:val="24"/>
          <w:szCs w:val="24"/>
          <w:lang w:eastAsia="zh-Hans"/>
        </w:rPr>
        <w:t>承担。</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监督和管理</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（一）甲乙双方经协商一致需变更合同实质性条款或订立补充合同的，应先取得政府采购监督管理部门的同意，并将相关资料报送备案。</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（二）甲乙双方均应自觉配合政府采购监督管理部门对合同履行情况的监督检查，如实反映情况，提供有关资料；否则，将对有关单位、当事人按照有关规定予以处罚。</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无效合同</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甲乙双方如因违反法律和有关规定，合同被宣告无效的，有过错的一方应当承担赔偿责任，双方都有过错的，各自承担相应的责任。</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投诉</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甲方如对乙方所提供的服务提出投诉，经政府采购监督管理部门调查核实，属于有效投诉。有效投诉超过三次的，政府采购监督管理部门可以终止本合同，并取消乙方的</w:t>
      </w:r>
      <w:r>
        <w:rPr>
          <w:rFonts w:hint="eastAsia" w:ascii="宋体" w:hAnsi="宋体" w:eastAsia="宋体" w:cs="宋体"/>
          <w:kern w:val="0"/>
          <w:sz w:val="24"/>
          <w:szCs w:val="24"/>
          <w:lang w:eastAsia="zh-CN"/>
        </w:rPr>
        <w:t>成交</w:t>
      </w:r>
      <w:r>
        <w:rPr>
          <w:rFonts w:hint="eastAsia" w:ascii="宋体" w:hAnsi="宋体" w:eastAsia="宋体" w:cs="宋体"/>
          <w:kern w:val="0"/>
          <w:sz w:val="24"/>
          <w:szCs w:val="24"/>
        </w:rPr>
        <w:t>资格，并按有关规定接受处理。</w:t>
      </w:r>
    </w:p>
    <w:p>
      <w:pPr>
        <w:keepNext w:val="0"/>
        <w:keepLines w:val="0"/>
        <w:pageBreakBefore w:val="0"/>
        <w:numPr>
          <w:ilvl w:val="0"/>
          <w:numId w:val="2"/>
        </w:numPr>
        <w:kinsoku/>
        <w:wordWrap/>
        <w:overflowPunct/>
        <w:topLinePunct w:val="0"/>
        <w:autoSpaceDE w:val="0"/>
        <w:autoSpaceDN w:val="0"/>
        <w:bidi w:val="0"/>
        <w:adjustRightInd w:val="0"/>
        <w:snapToGrid/>
        <w:spacing w:line="360" w:lineRule="auto"/>
        <w:ind w:left="0" w:leftChars="0"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附则</w:t>
      </w:r>
    </w:p>
    <w:p>
      <w:pPr>
        <w:keepNext w:val="0"/>
        <w:keepLines w:val="0"/>
        <w:pageBreakBefore w:val="0"/>
        <w:numPr>
          <w:ilvl w:val="0"/>
          <w:numId w:val="12"/>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本合同一式</w:t>
      </w:r>
      <w:r>
        <w:rPr>
          <w:rFonts w:hint="eastAsia" w:ascii="宋体" w:hAnsi="宋体" w:eastAsia="宋体" w:cs="宋体"/>
          <w:kern w:val="0"/>
          <w:sz w:val="24"/>
          <w:szCs w:val="24"/>
          <w:u w:val="single"/>
        </w:rPr>
        <w:t>肆</w:t>
      </w:r>
      <w:r>
        <w:rPr>
          <w:rFonts w:hint="eastAsia" w:ascii="宋体" w:hAnsi="宋体" w:eastAsia="宋体" w:cs="宋体"/>
          <w:kern w:val="0"/>
          <w:sz w:val="24"/>
          <w:szCs w:val="24"/>
        </w:rPr>
        <w:t>份，甲方执</w:t>
      </w:r>
      <w:r>
        <w:rPr>
          <w:rFonts w:hint="eastAsia" w:ascii="宋体" w:hAnsi="宋体" w:eastAsia="宋体" w:cs="宋体"/>
          <w:kern w:val="0"/>
          <w:sz w:val="24"/>
          <w:szCs w:val="24"/>
          <w:u w:val="single"/>
        </w:rPr>
        <w:t>贰</w:t>
      </w:r>
      <w:r>
        <w:rPr>
          <w:rFonts w:hint="eastAsia" w:ascii="宋体" w:hAnsi="宋体" w:eastAsia="宋体" w:cs="宋体"/>
          <w:kern w:val="0"/>
          <w:sz w:val="24"/>
          <w:szCs w:val="24"/>
        </w:rPr>
        <w:t>份，乙方执</w:t>
      </w:r>
      <w:r>
        <w:rPr>
          <w:rFonts w:hint="eastAsia" w:ascii="宋体" w:hAnsi="宋体" w:eastAsia="宋体" w:cs="宋体"/>
          <w:kern w:val="0"/>
          <w:sz w:val="24"/>
          <w:szCs w:val="24"/>
          <w:u w:val="single"/>
        </w:rPr>
        <w:t>贰</w:t>
      </w:r>
      <w:r>
        <w:rPr>
          <w:rFonts w:hint="eastAsia" w:ascii="宋体" w:hAnsi="宋体" w:eastAsia="宋体" w:cs="宋体"/>
          <w:kern w:val="0"/>
          <w:sz w:val="24"/>
          <w:szCs w:val="24"/>
        </w:rPr>
        <w:t>份。每份均具有同等法律效力。</w:t>
      </w:r>
    </w:p>
    <w:p>
      <w:pPr>
        <w:keepNext w:val="0"/>
        <w:keepLines w:val="0"/>
        <w:pageBreakBefore w:val="0"/>
        <w:numPr>
          <w:ilvl w:val="0"/>
          <w:numId w:val="12"/>
        </w:numPr>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本合同自甲乙双方签字盖章后生效。</w:t>
      </w:r>
    </w:p>
    <w:p>
      <w:pPr>
        <w:keepNext w:val="0"/>
        <w:keepLines w:val="0"/>
        <w:pageBreakBefore w:val="0"/>
        <w:kinsoku/>
        <w:wordWrap/>
        <w:overflowPunct/>
        <w:topLinePunct w:val="0"/>
        <w:autoSpaceDE w:val="0"/>
        <w:autoSpaceDN w:val="0"/>
        <w:bidi w:val="0"/>
        <w:adjustRightInd w:val="0"/>
        <w:snapToGrid/>
        <w:spacing w:line="360" w:lineRule="auto"/>
        <w:ind w:left="0" w:leftChars="0" w:firstLine="480" w:firstLineChars="2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本页无正文）</w:t>
      </w:r>
    </w:p>
    <w:p>
      <w:pPr>
        <w:spacing w:line="360" w:lineRule="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br w:type="page"/>
      </w:r>
    </w:p>
    <w:p>
      <w:pPr>
        <w:spacing w:line="360" w:lineRule="auto"/>
        <w:rPr>
          <w:rFonts w:hint="eastAsia" w:ascii="宋体" w:hAnsi="宋体" w:eastAsia="宋体" w:cs="宋体"/>
          <w:sz w:val="24"/>
          <w:szCs w:val="24"/>
        </w:rPr>
      </w:pPr>
      <w:r>
        <w:rPr>
          <w:rFonts w:hint="eastAsia" w:ascii="宋体" w:hAnsi="宋体" w:eastAsia="宋体" w:cs="宋体"/>
          <w:kern w:val="0"/>
          <w:sz w:val="24"/>
          <w:szCs w:val="24"/>
          <w:lang w:val="en-US" w:eastAsia="zh-CN"/>
        </w:rPr>
        <w:t>（本页为签署页）</w:t>
      </w:r>
    </w:p>
    <w:p>
      <w:pPr>
        <w:autoSpaceDE w:val="0"/>
        <w:autoSpaceDN w:val="0"/>
        <w:adjustRightInd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购货单位（甲方）：                    供货单位（乙方）：</w:t>
      </w:r>
    </w:p>
    <w:p>
      <w:pPr>
        <w:autoSpaceDE w:val="0"/>
        <w:autoSpaceDN w:val="0"/>
        <w:adjustRightInd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法定代表人：                          法定代表人/负责人：</w:t>
      </w:r>
    </w:p>
    <w:p>
      <w:pPr>
        <w:autoSpaceDE w:val="0"/>
        <w:autoSpaceDN w:val="0"/>
        <w:adjustRightInd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委托代理人：                          委托代理人：</w:t>
      </w:r>
    </w:p>
    <w:p>
      <w:pPr>
        <w:autoSpaceDE w:val="0"/>
        <w:autoSpaceDN w:val="0"/>
        <w:adjustRightInd w:val="0"/>
        <w:spacing w:line="360" w:lineRule="auto"/>
        <w:jc w:val="left"/>
        <w:rPr>
          <w:rFonts w:hint="eastAsia" w:ascii="宋体" w:hAnsi="宋体" w:eastAsia="宋体" w:cs="宋体"/>
          <w:kern w:val="0"/>
          <w:sz w:val="24"/>
          <w:szCs w:val="24"/>
        </w:rPr>
      </w:pPr>
    </w:p>
    <w:p>
      <w:pPr>
        <w:autoSpaceDE w:val="0"/>
        <w:autoSpaceDN w:val="0"/>
        <w:adjustRightInd w:val="0"/>
        <w:spacing w:line="360" w:lineRule="auto"/>
        <w:jc w:val="left"/>
        <w:rPr>
          <w:rFonts w:hint="eastAsia" w:ascii="宋体" w:hAnsi="宋体" w:eastAsia="宋体" w:cs="宋体"/>
          <w:kern w:val="0"/>
          <w:sz w:val="24"/>
          <w:szCs w:val="24"/>
        </w:rPr>
      </w:pPr>
    </w:p>
    <w:p>
      <w:pPr>
        <w:autoSpaceDE w:val="0"/>
        <w:autoSpaceDN w:val="0"/>
        <w:adjustRightInd w:val="0"/>
        <w:spacing w:line="360" w:lineRule="auto"/>
        <w:jc w:val="left"/>
        <w:rPr>
          <w:rFonts w:hint="eastAsia" w:ascii="宋体" w:hAnsi="宋体" w:eastAsia="宋体" w:cs="宋体"/>
          <w:kern w:val="0"/>
          <w:sz w:val="24"/>
          <w:szCs w:val="24"/>
        </w:rPr>
      </w:pPr>
    </w:p>
    <w:p>
      <w:pPr>
        <w:autoSpaceDE w:val="0"/>
        <w:autoSpaceDN w:val="0"/>
        <w:adjustRightInd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签约时间：   年   月   日</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签约地点：__</w:t>
      </w:r>
    </w:p>
    <w:p>
      <w:pPr>
        <w:spacing w:line="360" w:lineRule="auto"/>
        <w:rPr>
          <w:rFonts w:hint="eastAsia" w:ascii="宋体" w:hAnsi="宋体" w:eastAsia="宋体" w:cs="宋体"/>
          <w:kern w:val="0"/>
          <w:sz w:val="24"/>
          <w:szCs w:val="24"/>
        </w:rPr>
      </w:pPr>
    </w:p>
    <w:p>
      <w:pPr>
        <w:spacing w:line="360" w:lineRule="auto"/>
        <w:rPr>
          <w:rFonts w:hint="eastAsia" w:ascii="宋体" w:hAnsi="宋体" w:eastAsia="宋体" w:cs="宋体"/>
          <w:kern w:val="0"/>
          <w:sz w:val="24"/>
          <w:szCs w:val="24"/>
        </w:rPr>
      </w:pPr>
      <w:r>
        <w:rPr>
          <w:rFonts w:hint="eastAsia" w:ascii="宋体" w:hAnsi="宋体" w:eastAsia="宋体" w:cs="宋体"/>
          <w:b/>
          <w:bCs/>
          <w:sz w:val="24"/>
          <w:szCs w:val="24"/>
        </w:rPr>
        <w:t>注：本合同样本仅供形式上的参考，具体条款内容由</w:t>
      </w:r>
      <w:r>
        <w:rPr>
          <w:rFonts w:hint="eastAsia" w:ascii="宋体" w:hAnsi="宋体" w:eastAsia="宋体" w:cs="宋体"/>
          <w:b/>
          <w:bCs/>
          <w:sz w:val="24"/>
          <w:szCs w:val="24"/>
          <w:lang w:eastAsia="zh-CN"/>
        </w:rPr>
        <w:t>甲方</w:t>
      </w:r>
      <w:r>
        <w:rPr>
          <w:rFonts w:hint="eastAsia" w:ascii="宋体" w:hAnsi="宋体" w:eastAsia="宋体" w:cs="宋体"/>
          <w:b/>
          <w:bCs/>
          <w:sz w:val="24"/>
          <w:szCs w:val="24"/>
        </w:rPr>
        <w:t>和成交供应商协商确定。</w:t>
      </w:r>
    </w:p>
    <w:p>
      <w:pPr>
        <w:pStyle w:val="8"/>
        <w:ind w:left="0" w:leftChars="0" w:firstLine="0" w:firstLineChars="0"/>
        <w:rPr>
          <w:rFonts w:hint="eastAsia" w:ascii="宋体" w:hAnsi="宋体" w:eastAsia="宋体" w:cs="宋体"/>
          <w:sz w:val="24"/>
          <w:szCs w:val="24"/>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posOffset>4157345</wp:posOffset>
              </wp:positionH>
              <wp:positionV relativeFrom="paragraph">
                <wp:posOffset>-116205</wp:posOffset>
              </wp:positionV>
              <wp:extent cx="1116965" cy="27051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16965" cy="27051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27.35pt;margin-top:-9.15pt;height:21.3pt;width:87.95pt;mso-position-horizontal-relative:margin;z-index:251659264;mso-width-relative:page;mso-height-relative:page;" filled="f" stroked="f" coordsize="21600,21600" o:gfxdata="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C7MRf7aAAAACgEAAA8AAAAAAAAAAQAgAAAAIgAAAGRycy9kb3du&#10;cmV2LnhtbFBLAQIUABQAAAAIAIdO4kCacQpj4QIAACUGAAAOAAAAAAAAAAEAIAAAACkBAABkcnMv&#10;ZTJvRG9jLnhtbFBLBQYAAAAABgAGAFkBAAB8BgAAAAA=&#10;">
              <v:fill on="f" focussize="0,0"/>
              <v:stroke on="f" weight="0.5pt"/>
              <v:imagedata o:title=""/>
              <o:lock v:ext="edit" aspectratio="f"/>
              <v:textbox inset="0mm,0mm,0mm,0mm">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238199"/>
    <w:multiLevelType w:val="singleLevel"/>
    <w:tmpl w:val="95238199"/>
    <w:lvl w:ilvl="0" w:tentative="0">
      <w:start w:val="1"/>
      <w:numFmt w:val="chineseCounting"/>
      <w:suff w:val="nothing"/>
      <w:lvlText w:val="（%1）"/>
      <w:lvlJc w:val="left"/>
      <w:pPr>
        <w:ind w:left="0" w:firstLine="420"/>
      </w:pPr>
      <w:rPr>
        <w:rFonts w:hint="eastAsia"/>
      </w:rPr>
    </w:lvl>
  </w:abstractNum>
  <w:abstractNum w:abstractNumId="1">
    <w:nsid w:val="BBCED7DA"/>
    <w:multiLevelType w:val="singleLevel"/>
    <w:tmpl w:val="BBCED7DA"/>
    <w:lvl w:ilvl="0" w:tentative="0">
      <w:start w:val="4"/>
      <w:numFmt w:val="chineseCounting"/>
      <w:suff w:val="nothing"/>
      <w:lvlText w:val="%1、"/>
      <w:lvlJc w:val="left"/>
      <w:rPr>
        <w:rFonts w:hint="eastAsia"/>
      </w:rPr>
    </w:lvl>
  </w:abstractNum>
  <w:abstractNum w:abstractNumId="2">
    <w:nsid w:val="C14B8B4C"/>
    <w:multiLevelType w:val="singleLevel"/>
    <w:tmpl w:val="C14B8B4C"/>
    <w:lvl w:ilvl="0" w:tentative="0">
      <w:start w:val="1"/>
      <w:numFmt w:val="chineseCounting"/>
      <w:suff w:val="nothing"/>
      <w:lvlText w:val="（%1）"/>
      <w:lvlJc w:val="left"/>
      <w:pPr>
        <w:ind w:left="0" w:firstLine="420"/>
      </w:pPr>
      <w:rPr>
        <w:rFonts w:hint="eastAsia"/>
      </w:rPr>
    </w:lvl>
  </w:abstractNum>
  <w:abstractNum w:abstractNumId="3">
    <w:nsid w:val="D2F5F723"/>
    <w:multiLevelType w:val="singleLevel"/>
    <w:tmpl w:val="D2F5F723"/>
    <w:lvl w:ilvl="0" w:tentative="0">
      <w:start w:val="1"/>
      <w:numFmt w:val="chineseCounting"/>
      <w:suff w:val="nothing"/>
      <w:lvlText w:val="%1、"/>
      <w:lvlJc w:val="left"/>
      <w:pPr>
        <w:ind w:left="0" w:firstLine="420"/>
      </w:pPr>
      <w:rPr>
        <w:rFonts w:hint="eastAsia"/>
      </w:rPr>
    </w:lvl>
  </w:abstractNum>
  <w:abstractNum w:abstractNumId="4">
    <w:nsid w:val="E0792925"/>
    <w:multiLevelType w:val="singleLevel"/>
    <w:tmpl w:val="E0792925"/>
    <w:lvl w:ilvl="0" w:tentative="0">
      <w:start w:val="1"/>
      <w:numFmt w:val="chineseCounting"/>
      <w:suff w:val="nothing"/>
      <w:lvlText w:val="（%1）"/>
      <w:lvlJc w:val="left"/>
      <w:pPr>
        <w:ind w:left="0" w:firstLine="420"/>
      </w:pPr>
      <w:rPr>
        <w:rFonts w:hint="eastAsia"/>
      </w:rPr>
    </w:lvl>
  </w:abstractNum>
  <w:abstractNum w:abstractNumId="5">
    <w:nsid w:val="F5188E55"/>
    <w:multiLevelType w:val="singleLevel"/>
    <w:tmpl w:val="F5188E55"/>
    <w:lvl w:ilvl="0" w:tentative="0">
      <w:start w:val="1"/>
      <w:numFmt w:val="chineseCounting"/>
      <w:suff w:val="nothing"/>
      <w:lvlText w:val="（%1）"/>
      <w:lvlJc w:val="left"/>
      <w:pPr>
        <w:ind w:left="0" w:firstLine="420"/>
      </w:pPr>
      <w:rPr>
        <w:rFonts w:hint="eastAsia"/>
      </w:rPr>
    </w:lvl>
  </w:abstractNum>
  <w:abstractNum w:abstractNumId="6">
    <w:nsid w:val="F92450D4"/>
    <w:multiLevelType w:val="singleLevel"/>
    <w:tmpl w:val="F92450D4"/>
    <w:lvl w:ilvl="0" w:tentative="0">
      <w:start w:val="1"/>
      <w:numFmt w:val="chineseCounting"/>
      <w:suff w:val="nothing"/>
      <w:lvlText w:val="（%1）"/>
      <w:lvlJc w:val="left"/>
      <w:pPr>
        <w:ind w:left="0" w:firstLine="420"/>
      </w:pPr>
      <w:rPr>
        <w:rFonts w:hint="eastAsia"/>
      </w:rPr>
    </w:lvl>
  </w:abstractNum>
  <w:abstractNum w:abstractNumId="7">
    <w:nsid w:val="18EF7FB0"/>
    <w:multiLevelType w:val="singleLevel"/>
    <w:tmpl w:val="18EF7FB0"/>
    <w:lvl w:ilvl="0" w:tentative="0">
      <w:start w:val="1"/>
      <w:numFmt w:val="chineseCounting"/>
      <w:suff w:val="nothing"/>
      <w:lvlText w:val="（%1）"/>
      <w:lvlJc w:val="left"/>
      <w:pPr>
        <w:ind w:left="0" w:firstLine="420"/>
      </w:pPr>
      <w:rPr>
        <w:rFonts w:hint="eastAsia"/>
      </w:rPr>
    </w:lvl>
  </w:abstractNum>
  <w:abstractNum w:abstractNumId="8">
    <w:nsid w:val="30753D3D"/>
    <w:multiLevelType w:val="singleLevel"/>
    <w:tmpl w:val="30753D3D"/>
    <w:lvl w:ilvl="0" w:tentative="0">
      <w:start w:val="1"/>
      <w:numFmt w:val="chineseCounting"/>
      <w:suff w:val="nothing"/>
      <w:lvlText w:val="（%1）"/>
      <w:lvlJc w:val="left"/>
      <w:pPr>
        <w:ind w:left="0" w:firstLine="420"/>
      </w:pPr>
      <w:rPr>
        <w:rFonts w:hint="eastAsia"/>
      </w:rPr>
    </w:lvl>
  </w:abstractNum>
  <w:abstractNum w:abstractNumId="9">
    <w:nsid w:val="48DD12F1"/>
    <w:multiLevelType w:val="singleLevel"/>
    <w:tmpl w:val="48DD12F1"/>
    <w:lvl w:ilvl="0" w:tentative="0">
      <w:start w:val="1"/>
      <w:numFmt w:val="chineseCounting"/>
      <w:suff w:val="nothing"/>
      <w:lvlText w:val="（%1）"/>
      <w:lvlJc w:val="left"/>
      <w:pPr>
        <w:ind w:left="0" w:firstLine="420"/>
      </w:pPr>
      <w:rPr>
        <w:rFonts w:hint="eastAsia"/>
      </w:rPr>
    </w:lvl>
  </w:abstractNum>
  <w:abstractNum w:abstractNumId="10">
    <w:nsid w:val="71255405"/>
    <w:multiLevelType w:val="singleLevel"/>
    <w:tmpl w:val="71255405"/>
    <w:lvl w:ilvl="0" w:tentative="0">
      <w:start w:val="1"/>
      <w:numFmt w:val="chineseCounting"/>
      <w:suff w:val="nothing"/>
      <w:lvlText w:val="（%1）"/>
      <w:lvlJc w:val="left"/>
      <w:pPr>
        <w:ind w:left="0" w:firstLine="420"/>
      </w:pPr>
      <w:rPr>
        <w:rFonts w:hint="eastAsia"/>
      </w:rPr>
    </w:lvl>
  </w:abstractNum>
  <w:abstractNum w:abstractNumId="11">
    <w:nsid w:val="776CC68F"/>
    <w:multiLevelType w:val="singleLevel"/>
    <w:tmpl w:val="776CC68F"/>
    <w:lvl w:ilvl="0" w:tentative="0">
      <w:start w:val="1"/>
      <w:numFmt w:val="chineseCounting"/>
      <w:suff w:val="nothing"/>
      <w:lvlText w:val="（%1）"/>
      <w:lvlJc w:val="left"/>
      <w:pPr>
        <w:ind w:left="0" w:firstLine="420"/>
      </w:pPr>
      <w:rPr>
        <w:rFonts w:hint="eastAsia"/>
      </w:rPr>
    </w:lvl>
  </w:abstractNum>
  <w:num w:numId="1">
    <w:abstractNumId w:val="1"/>
  </w:num>
  <w:num w:numId="2">
    <w:abstractNumId w:val="3"/>
  </w:num>
  <w:num w:numId="3">
    <w:abstractNumId w:val="0"/>
  </w:num>
  <w:num w:numId="4">
    <w:abstractNumId w:val="5"/>
  </w:num>
  <w:num w:numId="5">
    <w:abstractNumId w:val="4"/>
  </w:num>
  <w:num w:numId="6">
    <w:abstractNumId w:val="8"/>
  </w:num>
  <w:num w:numId="7">
    <w:abstractNumId w:val="6"/>
  </w:num>
  <w:num w:numId="8">
    <w:abstractNumId w:val="2"/>
  </w:num>
  <w:num w:numId="9">
    <w:abstractNumId w:val="11"/>
  </w:num>
  <w:num w:numId="10">
    <w:abstractNumId w:val="7"/>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3Zjg4MGQ5Y2E4NmIwOTY5OTc0Y2M5NTQ0YTU1OTEifQ=="/>
  </w:docVars>
  <w:rsids>
    <w:rsidRoot w:val="74531B0F"/>
    <w:rsid w:val="068B011B"/>
    <w:rsid w:val="07C30C69"/>
    <w:rsid w:val="088210AA"/>
    <w:rsid w:val="08B52BC0"/>
    <w:rsid w:val="0ADE59D1"/>
    <w:rsid w:val="0B9C5CC1"/>
    <w:rsid w:val="0F8F6A2A"/>
    <w:rsid w:val="13C227D1"/>
    <w:rsid w:val="177D200A"/>
    <w:rsid w:val="191C2E55"/>
    <w:rsid w:val="1C646FED"/>
    <w:rsid w:val="1E85324A"/>
    <w:rsid w:val="23C91DC7"/>
    <w:rsid w:val="240510B5"/>
    <w:rsid w:val="24A87C93"/>
    <w:rsid w:val="251B46E0"/>
    <w:rsid w:val="29DE5A0A"/>
    <w:rsid w:val="2AF23A16"/>
    <w:rsid w:val="2D475292"/>
    <w:rsid w:val="2F7075FF"/>
    <w:rsid w:val="2FD30669"/>
    <w:rsid w:val="301601A6"/>
    <w:rsid w:val="32E254BD"/>
    <w:rsid w:val="35541F21"/>
    <w:rsid w:val="35FF4995"/>
    <w:rsid w:val="37651747"/>
    <w:rsid w:val="3B0076D8"/>
    <w:rsid w:val="412F06F1"/>
    <w:rsid w:val="42F8478B"/>
    <w:rsid w:val="430400AA"/>
    <w:rsid w:val="44F91F1D"/>
    <w:rsid w:val="480212E4"/>
    <w:rsid w:val="4B5A1285"/>
    <w:rsid w:val="4D236B2B"/>
    <w:rsid w:val="4E006AFF"/>
    <w:rsid w:val="509946DA"/>
    <w:rsid w:val="50F73041"/>
    <w:rsid w:val="524B7A61"/>
    <w:rsid w:val="52EE2225"/>
    <w:rsid w:val="56C66CC8"/>
    <w:rsid w:val="5AD76600"/>
    <w:rsid w:val="5B357F7A"/>
    <w:rsid w:val="5D144D82"/>
    <w:rsid w:val="66C03272"/>
    <w:rsid w:val="675857AD"/>
    <w:rsid w:val="70455963"/>
    <w:rsid w:val="728A0953"/>
    <w:rsid w:val="744F4027"/>
    <w:rsid w:val="74531B0F"/>
    <w:rsid w:val="756A4B47"/>
    <w:rsid w:val="76F679B7"/>
    <w:rsid w:val="7A602571"/>
    <w:rsid w:val="7D810E93"/>
    <w:rsid w:val="7EBD4915"/>
    <w:rsid w:val="7F065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5">
    <w:name w:val="Normal Indent"/>
    <w:basedOn w:val="1"/>
    <w:qFormat/>
    <w:uiPriority w:val="0"/>
    <w:pPr>
      <w:ind w:firstLine="420" w:firstLineChars="200"/>
    </w:pPr>
  </w:style>
  <w:style w:type="paragraph" w:styleId="6">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8">
    <w:name w:val="toc 2"/>
    <w:basedOn w:val="1"/>
    <w:next w:val="1"/>
    <w:unhideWhenUsed/>
    <w:qFormat/>
    <w:uiPriority w:val="39"/>
    <w:pPr>
      <w:spacing w:after="156"/>
      <w:ind w:left="480" w:leftChars="200"/>
    </w:pPr>
  </w:style>
  <w:style w:type="paragraph" w:customStyle="1" w:styleId="11">
    <w:name w:val="List Paragraph"/>
    <w:basedOn w:val="1"/>
    <w:unhideWhenUsed/>
    <w:qFormat/>
    <w:uiPriority w:val="34"/>
    <w:pPr>
      <w:ind w:firstLine="420" w:firstLineChars="200"/>
    </w:pPr>
    <w:rPr>
      <w:rFonts w:eastAsia="宋体"/>
      <w:szCs w:val="24"/>
    </w:rPr>
  </w:style>
  <w:style w:type="paragraph" w:customStyle="1" w:styleId="12">
    <w:name w:val="_Style 97"/>
    <w:basedOn w:val="1"/>
    <w:next w:val="11"/>
    <w:qFormat/>
    <w:uiPriority w:val="0"/>
    <w:pPr>
      <w:ind w:firstLine="420" w:firstLineChars="200"/>
    </w:pPr>
  </w:style>
  <w:style w:type="paragraph" w:customStyle="1" w:styleId="13">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列表段落1"/>
    <w:basedOn w:val="1"/>
    <w:unhideWhenUsed/>
    <w:qFormat/>
    <w:uiPriority w:val="34"/>
    <w:pPr>
      <w:ind w:firstLine="420" w:firstLineChars="200"/>
    </w:pPr>
    <w:rPr>
      <w:rFonts w:eastAsia="宋体"/>
    </w:rPr>
  </w:style>
  <w:style w:type="paragraph" w:customStyle="1" w:styleId="15">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6">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7">
    <w:name w:val="unnamed11"/>
    <w:qFormat/>
    <w:uiPriority w:val="0"/>
    <w:rPr>
      <w:sz w:val="18"/>
      <w:szCs w:val="18"/>
    </w:rPr>
  </w:style>
  <w:style w:type="paragraph" w:customStyle="1" w:styleId="18">
    <w:name w:val="List Paragraph1"/>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8525</Words>
  <Characters>8917</Characters>
  <Lines>0</Lines>
  <Paragraphs>0</Paragraphs>
  <TotalTime>3</TotalTime>
  <ScaleCrop>false</ScaleCrop>
  <LinksUpToDate>false</LinksUpToDate>
  <CharactersWithSpaces>9312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LIN</cp:lastModifiedBy>
  <dcterms:modified xsi:type="dcterms:W3CDTF">2023-04-18T01:55:22Z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C8B0BEBB79B449EFB1A9B4F2557CA292</vt:lpwstr>
  </property>
</Properties>
</file>