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156" w:line="920" w:lineRule="exact"/>
        <w:jc w:val="center"/>
        <w:rPr>
          <w:rFonts w:hint="eastAsia" w:ascii="黑体" w:hAnsi="黑体" w:eastAsia="黑体"/>
          <w:color w:val="000000"/>
          <w:sz w:val="38"/>
          <w:szCs w:val="38"/>
          <w:highlight w:val="none"/>
          <w:u w:val="single"/>
        </w:rPr>
      </w:pPr>
    </w:p>
    <w:p>
      <w:pPr>
        <w:pStyle w:val="9"/>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w:t>
      </w:r>
    </w:p>
    <w:p>
      <w:pPr>
        <w:pStyle w:val="9"/>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信息技术应用创新项目运维服务</w:t>
      </w:r>
    </w:p>
    <w:p>
      <w:pPr>
        <w:pStyle w:val="9"/>
        <w:spacing w:after="156" w:line="920" w:lineRule="exact"/>
        <w:jc w:val="center"/>
        <w:rPr>
          <w:rFonts w:hint="eastAsia" w:ascii="黑体" w:hAnsi="黑体" w:eastAsia="黑体"/>
          <w:spacing w:val="20"/>
          <w:kern w:val="2"/>
          <w:sz w:val="32"/>
          <w:szCs w:val="32"/>
          <w:highlight w:val="none"/>
        </w:rPr>
      </w:pPr>
    </w:p>
    <w:p>
      <w:pPr>
        <w:pStyle w:val="9"/>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JYCG2022020</w:t>
      </w:r>
    </w:p>
    <w:p>
      <w:pPr>
        <w:spacing w:after="120" w:line="720" w:lineRule="exact"/>
        <w:jc w:val="center"/>
        <w:rPr>
          <w:color w:val="000000"/>
          <w:sz w:val="20"/>
          <w:highlight w:val="none"/>
        </w:rPr>
      </w:pPr>
    </w:p>
    <w:p>
      <w:pPr>
        <w:spacing w:after="120" w:line="720" w:lineRule="exact"/>
        <w:jc w:val="center"/>
        <w:rPr>
          <w:color w:val="000000"/>
          <w:sz w:val="20"/>
          <w:highlight w:val="none"/>
        </w:rPr>
      </w:pPr>
    </w:p>
    <w:p>
      <w:pP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pacing w:after="120" w:line="440" w:lineRule="exact"/>
        <w:jc w:val="center"/>
        <w:rPr>
          <w:color w:val="000000"/>
          <w:sz w:val="20"/>
          <w:highlight w:val="none"/>
        </w:rPr>
      </w:pPr>
    </w:p>
    <w:p>
      <w:pPr>
        <w:spacing w:after="120" w:line="440" w:lineRule="exact"/>
        <w:jc w:val="center"/>
        <w:rPr>
          <w:sz w:val="20"/>
          <w:highlight w:val="none"/>
        </w:rPr>
      </w:pPr>
    </w:p>
    <w:p>
      <w:pPr>
        <w:spacing w:after="120" w:line="440" w:lineRule="exact"/>
        <w:jc w:val="center"/>
        <w:rPr>
          <w:sz w:val="20"/>
          <w:highlight w:val="none"/>
        </w:rPr>
      </w:pPr>
    </w:p>
    <w:p>
      <w:pPr>
        <w:spacing w:before="156" w:beforeLines="50" w:after="120" w:line="520" w:lineRule="atLeas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采购人：数字江门网络建设有限公司</w:t>
      </w:r>
    </w:p>
    <w:p>
      <w:pPr>
        <w:spacing w:before="156" w:beforeLines="50" w:after="120" w:line="520" w:lineRule="atLeast"/>
        <w:jc w:val="center"/>
        <w:rPr>
          <w:rFonts w:ascii="黑体" w:hAnsi="宋体" w:eastAsia="黑体"/>
          <w:color w:val="000000"/>
          <w:sz w:val="10"/>
          <w:szCs w:val="10"/>
          <w:highlight w:val="none"/>
        </w:rPr>
      </w:pPr>
    </w:p>
    <w:p>
      <w:pP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2022年11月</w:t>
      </w:r>
    </w:p>
    <w:p>
      <w:pPr>
        <w:widowControl/>
        <w:spacing w:before="100" w:after="156" w:afterLines="50" w:line="400" w:lineRule="exact"/>
        <w:rPr>
          <w:rFonts w:ascii="宋体" w:hAnsi="宋体"/>
          <w:sz w:val="32"/>
          <w:szCs w:val="32"/>
          <w:highlight w:val="none"/>
        </w:rPr>
      </w:pPr>
    </w:p>
    <w:p>
      <w:pPr>
        <w:spacing w:after="156"/>
        <w:jc w:val="center"/>
        <w:rPr>
          <w:rFonts w:ascii="宋体" w:hAnsi="宋体"/>
          <w:sz w:val="32"/>
          <w:szCs w:val="32"/>
          <w:highlight w:val="none"/>
        </w:rPr>
        <w:sectPr>
          <w:headerReference r:id="rId4" w:type="first"/>
          <w:footerReference r:id="rId6" w:type="first"/>
          <w:headerReference r:id="rId3" w:type="default"/>
          <w:footerReference r:id="rId5" w:type="default"/>
          <w:pgSz w:w="11906" w:h="16838"/>
          <w:pgMar w:top="1610" w:right="1474" w:bottom="1304" w:left="1474" w:header="851" w:footer="684" w:gutter="0"/>
          <w:pgNumType w:fmt="decimal" w:start="1"/>
          <w:cols w:space="720" w:num="1"/>
          <w:docGrid w:type="lines" w:linePitch="312" w:charSpace="0"/>
        </w:sectPr>
      </w:pPr>
    </w:p>
    <w:p>
      <w:pPr>
        <w:spacing w:after="156"/>
        <w:jc w:val="center"/>
        <w:rPr>
          <w:rFonts w:ascii="宋体" w:hAnsi="宋体"/>
          <w:sz w:val="32"/>
          <w:szCs w:val="32"/>
        </w:rPr>
      </w:pPr>
      <w:bookmarkStart w:id="0" w:name="_Toc697"/>
      <w:r>
        <w:rPr>
          <w:rFonts w:hint="eastAsia" w:ascii="宋体" w:hAnsi="宋体"/>
          <w:sz w:val="32"/>
          <w:szCs w:val="32"/>
        </w:rPr>
        <w:t>目   录</w:t>
      </w:r>
    </w:p>
    <w:p>
      <w:pPr>
        <w:pStyle w:val="14"/>
        <w:tabs>
          <w:tab w:val="right" w:leader="dot" w:pos="8958"/>
        </w:tabs>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3</w:t>
      </w:r>
      <w:r>
        <w:fldChar w:fldCharType="end"/>
      </w:r>
      <w:r>
        <w:rPr>
          <w:rFonts w:ascii="宋体" w:hAnsi="宋体"/>
          <w:szCs w:val="24"/>
          <w:highlight w:val="yellow"/>
        </w:rPr>
        <w:fldChar w:fldCharType="end"/>
      </w:r>
    </w:p>
    <w:p>
      <w:pPr>
        <w:pStyle w:val="14"/>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r>
        <w:fldChar w:fldCharType="begin"/>
      </w:r>
      <w:r>
        <w:instrText xml:space="preserve"> PAGEREF _Toc19262 \h </w:instrText>
      </w:r>
      <w:r>
        <w:fldChar w:fldCharType="separate"/>
      </w:r>
      <w:r>
        <w:t>6</w:t>
      </w:r>
      <w:r>
        <w:fldChar w:fldCharType="end"/>
      </w:r>
      <w:r>
        <w:rPr>
          <w:rFonts w:ascii="宋体" w:hAnsi="宋体"/>
          <w:szCs w:val="24"/>
          <w:highlight w:val="yellow"/>
        </w:rPr>
        <w:fldChar w:fldCharType="end"/>
      </w:r>
    </w:p>
    <w:p>
      <w:pPr>
        <w:pStyle w:val="14"/>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8</w:t>
      </w:r>
      <w:r>
        <w:fldChar w:fldCharType="end"/>
      </w:r>
      <w:r>
        <w:rPr>
          <w:rFonts w:ascii="宋体" w:hAnsi="宋体"/>
          <w:szCs w:val="24"/>
          <w:highlight w:val="yellow"/>
        </w:rPr>
        <w:fldChar w:fldCharType="end"/>
      </w:r>
    </w:p>
    <w:p>
      <w:pPr>
        <w:pStyle w:val="14"/>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12</w:t>
      </w:r>
      <w:r>
        <w:fldChar w:fldCharType="end"/>
      </w:r>
      <w:r>
        <w:rPr>
          <w:rFonts w:ascii="宋体" w:hAnsi="宋体"/>
          <w:szCs w:val="24"/>
          <w:highlight w:val="yellow"/>
        </w:rPr>
        <w:fldChar w:fldCharType="end"/>
      </w:r>
    </w:p>
    <w:p>
      <w:pPr>
        <w:pStyle w:val="14"/>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23</w:t>
      </w:r>
      <w:r>
        <w:fldChar w:fldCharType="end"/>
      </w:r>
      <w:r>
        <w:rPr>
          <w:rFonts w:ascii="宋体" w:hAnsi="宋体"/>
          <w:szCs w:val="24"/>
          <w:highlight w:val="yellow"/>
        </w:rPr>
        <w:fldChar w:fldCharType="end"/>
      </w:r>
    </w:p>
    <w:p>
      <w:pPr>
        <w:pStyle w:val="14"/>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37</w:t>
      </w:r>
      <w:r>
        <w:fldChar w:fldCharType="end"/>
      </w:r>
      <w:r>
        <w:rPr>
          <w:rFonts w:ascii="宋体" w:hAnsi="宋体"/>
          <w:szCs w:val="24"/>
          <w:highlight w:val="yellow"/>
        </w:rPr>
        <w:fldChar w:fldCharType="end"/>
      </w:r>
    </w:p>
    <w:p>
      <w:pPr>
        <w:rPr>
          <w:rFonts w:hint="eastAsia"/>
          <w:sz w:val="32"/>
          <w:szCs w:val="32"/>
          <w:highlight w:val="none"/>
        </w:rPr>
      </w:pPr>
      <w:r>
        <w:rPr>
          <w:rFonts w:ascii="宋体" w:hAnsi="宋体"/>
          <w:szCs w:val="24"/>
          <w:highlight w:val="yellow"/>
        </w:rPr>
        <w:fldChar w:fldCharType="end"/>
      </w:r>
      <w:r>
        <w:rPr>
          <w:rFonts w:hint="eastAsia"/>
          <w:sz w:val="32"/>
          <w:szCs w:val="32"/>
          <w:highlight w:val="none"/>
        </w:rPr>
        <w:br w:type="page"/>
      </w:r>
    </w:p>
    <w:p>
      <w:pPr>
        <w:pStyle w:val="3"/>
        <w:jc w:val="center"/>
        <w:rPr>
          <w:rFonts w:hint="eastAsia"/>
          <w:sz w:val="32"/>
          <w:szCs w:val="32"/>
          <w:highlight w:val="none"/>
        </w:rPr>
      </w:pPr>
      <w:bookmarkStart w:id="1" w:name="_Toc11351"/>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1"/>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1.1项目概况：</w:t>
      </w:r>
      <w:r>
        <w:rPr>
          <w:rFonts w:hint="eastAsia"/>
          <w:color w:val="auto"/>
          <w:szCs w:val="24"/>
        </w:rPr>
        <w:t>本项目是为机房设备及系统提供技术支持运维服务，同时根据项目的维护要求提供7</w:t>
      </w:r>
      <w:r>
        <w:rPr>
          <w:rFonts w:ascii="Arial" w:hAnsi="Arial" w:cs="Arial"/>
          <w:color w:val="auto"/>
          <w:szCs w:val="24"/>
        </w:rPr>
        <w:t>×</w:t>
      </w:r>
      <w:r>
        <w:rPr>
          <w:rFonts w:hint="eastAsia"/>
          <w:color w:val="auto"/>
          <w:szCs w:val="24"/>
        </w:rPr>
        <w:t>24小时现场技术支持和远程技术支持，并对机房资产和网络进行记录与保护。</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cs="宋体"/>
          <w:sz w:val="21"/>
          <w:szCs w:val="21"/>
          <w:highlight w:val="none"/>
          <w:lang w:eastAsia="zh-CN"/>
        </w:rPr>
        <w:t>：</w:t>
      </w:r>
      <w:r>
        <w:rPr>
          <w:rFonts w:hint="eastAsia"/>
        </w:rPr>
        <w:t>电话技术</w:t>
      </w:r>
      <w:r>
        <w:rPr>
          <w:rFonts w:hint="eastAsia"/>
          <w:highlight w:val="none"/>
        </w:rPr>
        <w:t>支持</w:t>
      </w:r>
      <w:r>
        <w:rPr>
          <w:rFonts w:hint="eastAsia"/>
          <w:highlight w:val="none"/>
          <w:lang w:eastAsia="zh-CN"/>
        </w:rPr>
        <w:t>、</w:t>
      </w:r>
      <w:r>
        <w:rPr>
          <w:rFonts w:hint="eastAsia"/>
          <w:highlight w:val="none"/>
        </w:rPr>
        <w:t>周期性现场服务</w:t>
      </w:r>
      <w:r>
        <w:rPr>
          <w:rFonts w:hint="eastAsia"/>
          <w:highlight w:val="none"/>
          <w:lang w:eastAsia="zh-CN"/>
        </w:rPr>
        <w:t>、</w:t>
      </w:r>
      <w:r>
        <w:rPr>
          <w:rFonts w:hint="eastAsia"/>
          <w:highlight w:val="none"/>
        </w:rPr>
        <w:t>硬件系统运维支持服务</w:t>
      </w:r>
      <w:r>
        <w:rPr>
          <w:rFonts w:hint="eastAsia"/>
          <w:highlight w:val="none"/>
          <w:lang w:eastAsia="zh-CN"/>
        </w:rPr>
        <w:t>、</w:t>
      </w:r>
      <w:r>
        <w:rPr>
          <w:rFonts w:hint="eastAsia"/>
          <w:highlight w:val="none"/>
        </w:rPr>
        <w:t>系统巡检服务</w:t>
      </w:r>
      <w:r>
        <w:rPr>
          <w:rFonts w:hint="eastAsia"/>
          <w:highlight w:val="none"/>
          <w:lang w:eastAsia="zh-CN"/>
        </w:rPr>
        <w:t>、</w:t>
      </w:r>
      <w:r>
        <w:rPr>
          <w:rFonts w:hint="eastAsia"/>
          <w:highlight w:val="none"/>
        </w:rPr>
        <w:t>培训服务</w:t>
      </w:r>
      <w:r>
        <w:rPr>
          <w:rFonts w:hint="eastAsia"/>
          <w:highlight w:val="none"/>
          <w:lang w:eastAsia="zh-CN"/>
        </w:rPr>
        <w:t>、</w:t>
      </w:r>
      <w:r>
        <w:rPr>
          <w:rFonts w:hint="eastAsia"/>
          <w:highlight w:val="none"/>
        </w:rPr>
        <w:t>文档管理服务</w:t>
      </w:r>
      <w:r>
        <w:rPr>
          <w:rFonts w:hint="eastAsia"/>
          <w:highlight w:val="none"/>
          <w:lang w:val="en-US" w:eastAsia="zh-CN"/>
        </w:rPr>
        <w:t>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详见第五章采购需求</w:t>
      </w:r>
      <w:r>
        <w:rPr>
          <w:rFonts w:hint="eastAsia" w:ascii="宋体" w:hAnsi="宋体" w:eastAsia="宋体" w:cs="宋体"/>
          <w:sz w:val="21"/>
          <w:szCs w:val="21"/>
          <w:highlight w:val="none"/>
          <w:lang w:eastAsia="zh-CN"/>
        </w:rPr>
        <w:t>）</w:t>
      </w:r>
    </w:p>
    <w:p>
      <w:pPr>
        <w:pStyle w:val="40"/>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1.3项目预算金额：人民币</w:t>
      </w:r>
      <w:r>
        <w:rPr>
          <w:rFonts w:hint="eastAsia" w:ascii="宋体" w:hAnsi="宋体" w:eastAsia="宋体" w:cs="宋体"/>
          <w:kern w:val="2"/>
          <w:sz w:val="21"/>
          <w:szCs w:val="21"/>
          <w:highlight w:val="none"/>
          <w:lang w:val="en-US" w:eastAsia="zh-CN" w:bidi="ar-SA"/>
        </w:rPr>
        <w:t>9.71</w:t>
      </w:r>
      <w:bookmarkStart w:id="173" w:name="_GoBack"/>
      <w:bookmarkEnd w:id="173"/>
      <w:r>
        <w:rPr>
          <w:rFonts w:hint="eastAsia" w:ascii="宋体" w:hAnsi="宋体" w:eastAsia="宋体" w:cs="宋体"/>
          <w:kern w:val="2"/>
          <w:sz w:val="21"/>
          <w:szCs w:val="21"/>
          <w:highlight w:val="none"/>
          <w:lang w:val="en-US" w:eastAsia="zh-CN" w:bidi="ar-SA"/>
        </w:rPr>
        <w:t>5</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1.4交付期或工期</w:t>
      </w:r>
      <w:r>
        <w:rPr>
          <w:rFonts w:hint="eastAsia" w:ascii="宋体" w:hAnsi="宋体" w:eastAsia="宋体" w:cs="宋体"/>
          <w:kern w:val="2"/>
          <w:sz w:val="21"/>
          <w:szCs w:val="21"/>
          <w:highlight w:val="none"/>
          <w:lang w:val="en-US" w:eastAsia="zh-CN" w:bidi="ar-SA"/>
        </w:rPr>
        <w:t>：</w:t>
      </w:r>
      <w:r>
        <w:rPr>
          <w:rFonts w:hint="eastAsia"/>
          <w:color w:val="auto"/>
          <w:szCs w:val="24"/>
          <w:highlight w:val="none"/>
        </w:rPr>
        <w:t>自项目合同签订生效后提供</w:t>
      </w:r>
      <w:r>
        <w:rPr>
          <w:rFonts w:hint="eastAsia"/>
          <w:color w:val="auto"/>
          <w:szCs w:val="24"/>
          <w:highlight w:val="none"/>
          <w:lang w:val="en-US" w:eastAsia="zh-CN"/>
        </w:rPr>
        <w:t>1</w:t>
      </w:r>
      <w:r>
        <w:rPr>
          <w:rFonts w:hint="eastAsia"/>
          <w:color w:val="auto"/>
          <w:szCs w:val="24"/>
          <w:highlight w:val="none"/>
        </w:rPr>
        <w:t>年的维护服务。</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2.3</w:t>
      </w:r>
      <w:r>
        <w:rPr>
          <w:rFonts w:hint="eastAsia" w:ascii="宋体" w:hAnsi="宋体" w:eastAsia="宋体" w:cs="宋体"/>
          <w:kern w:val="0"/>
          <w:sz w:val="21"/>
          <w:szCs w:val="21"/>
          <w:highlight w:val="none"/>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highlight w:val="none"/>
        </w:rPr>
        <w:t>合法有效的营业执照</w:t>
      </w:r>
      <w:r>
        <w:rPr>
          <w:rFonts w:hint="eastAsia" w:ascii="宋体" w:hAnsi="宋体" w:eastAsia="宋体" w:cs="宋体"/>
          <w:kern w:val="0"/>
          <w:sz w:val="21"/>
          <w:szCs w:val="21"/>
          <w:highlight w:val="none"/>
        </w:rPr>
        <w:t>，并提供</w:t>
      </w:r>
      <w:r>
        <w:rPr>
          <w:rFonts w:hint="eastAsia" w:ascii="宋体" w:hAnsi="宋体" w:eastAsia="宋体" w:cs="宋体"/>
          <w:b/>
          <w:bCs/>
          <w:kern w:val="0"/>
          <w:sz w:val="21"/>
          <w:szCs w:val="21"/>
          <w:highlight w:val="none"/>
        </w:rPr>
        <w:t>商事法律关系主体信息最新查询结果</w:t>
      </w:r>
      <w:r>
        <w:rPr>
          <w:rFonts w:hint="eastAsia" w:ascii="宋体" w:hAnsi="宋体" w:eastAsia="宋体" w:cs="宋体"/>
          <w:kern w:val="0"/>
          <w:sz w:val="21"/>
          <w:szCs w:val="21"/>
          <w:highlight w:val="none"/>
        </w:rPr>
        <w:t>（显示经营范围、注册资本等信息）的截屏打印件（加盖公章）。</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供应商未被列入“信用中国”网站(www.creditchina.gov.cn)“</w:t>
      </w:r>
      <w:r>
        <w:rPr>
          <w:rFonts w:hint="eastAsia" w:ascii="宋体" w:hAnsi="宋体" w:eastAsia="宋体" w:cs="宋体"/>
          <w:b/>
          <w:bCs/>
          <w:sz w:val="21"/>
          <w:szCs w:val="21"/>
          <w:highlight w:val="none"/>
        </w:rPr>
        <w:t>记录失信被执行人或重大税收违法案件当事人名单或政府采购严重违法失信行为</w:t>
      </w:r>
      <w:r>
        <w:rPr>
          <w:rFonts w:hint="eastAsia" w:ascii="宋体" w:hAnsi="宋体" w:eastAsia="宋体" w:cs="宋体"/>
          <w:sz w:val="21"/>
          <w:szCs w:val="21"/>
          <w:highlight w:val="none"/>
        </w:rPr>
        <w:t>”记录名单</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不处于中国政府采购网(www.ccgp.gov.cn)“</w:t>
      </w:r>
      <w:r>
        <w:rPr>
          <w:rFonts w:hint="eastAsia" w:ascii="宋体" w:hAnsi="宋体" w:eastAsia="宋体" w:cs="宋体"/>
          <w:b/>
          <w:bCs/>
          <w:sz w:val="21"/>
          <w:szCs w:val="21"/>
          <w:highlight w:val="none"/>
        </w:rPr>
        <w:t>政府采购严重违法失信行为信息记录</w:t>
      </w:r>
      <w:r>
        <w:rPr>
          <w:rFonts w:hint="eastAsia" w:ascii="宋体" w:hAnsi="宋体" w:eastAsia="宋体" w:cs="宋体"/>
          <w:sz w:val="21"/>
          <w:szCs w:val="21"/>
          <w:highlight w:val="none"/>
        </w:rPr>
        <w:t>”中</w:t>
      </w:r>
      <w:r>
        <w:rPr>
          <w:rFonts w:hint="eastAsia" w:ascii="宋体" w:hAnsi="宋体" w:eastAsia="宋体" w:cs="宋体"/>
          <w:sz w:val="21"/>
          <w:szCs w:val="21"/>
        </w:rPr>
        <w:t>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2022年11月21日9时00分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2022年11月24日12时00分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2022年11月24日12时00分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15"/>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2022年11月21日</w:t>
      </w:r>
    </w:p>
    <w:p>
      <w:pP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color w:val="auto"/>
                <w:kern w:val="2"/>
                <w:sz w:val="22"/>
                <w:szCs w:val="22"/>
                <w:highlight w:val="none"/>
                <w:u w:val="none"/>
                <w:lang w:val="en-US" w:eastAsia="zh-CN" w:bidi="ar-SA"/>
              </w:rPr>
            </w:pPr>
            <w:r>
              <w:rPr>
                <w:rFonts w:hint="default" w:ascii="宋体" w:hAnsi="宋体" w:eastAsia="宋体" w:cs="宋体"/>
                <w:i w:val="0"/>
                <w:color w:val="auto"/>
                <w:kern w:val="2"/>
                <w:sz w:val="22"/>
                <w:szCs w:val="22"/>
                <w:highlight w:val="none"/>
                <w:u w:val="none"/>
                <w:lang w:val="en-US" w:eastAsia="zh-CN" w:bidi="ar-SA"/>
              </w:rPr>
              <w:t>JYCG2022020</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color w:val="auto"/>
                <w:highlight w:val="none"/>
              </w:rPr>
            </w:pPr>
            <w:r>
              <w:rPr>
                <w:rFonts w:hint="eastAsia" w:ascii="Times New Roman" w:hAnsi="Times New Roman" w:cs="Times New Roman" w:eastAsiaTheme="minorEastAsia"/>
                <w:color w:val="auto"/>
                <w:kern w:val="2"/>
                <w:sz w:val="21"/>
                <w:szCs w:val="21"/>
                <w:highlight w:val="none"/>
                <w:lang w:val="en-US" w:eastAsia="zh-CN" w:bidi="ar-SA"/>
              </w:rPr>
              <w:t>数字江门网络建设有限公司信息技术应用创新项目运维服务</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5"/>
        <w:rPr>
          <w:rFonts w:hint="eastAsia"/>
        </w:rPr>
      </w:pPr>
    </w:p>
    <w:p>
      <w:pPr>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3"/>
        <w:jc w:val="center"/>
        <w:rPr>
          <w:rFonts w:hint="eastAsia"/>
          <w:sz w:val="32"/>
          <w:szCs w:val="32"/>
          <w:highlight w:val="none"/>
        </w:rPr>
      </w:pPr>
      <w:bookmarkStart w:id="2" w:name="_Toc16920"/>
      <w:bookmarkStart w:id="3" w:name="_Toc19262"/>
      <w:bookmarkStart w:id="4"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rPr>
                <w:rFonts w:ascii="宋体" w:hAnsi="宋体"/>
                <w:spacing w:val="8"/>
                <w:kern w:val="24"/>
                <w:szCs w:val="21"/>
                <w:highlight w:val="none"/>
              </w:rPr>
            </w:pPr>
            <w:r>
              <w:rPr>
                <w:rFonts w:hint="default" w:ascii="宋体" w:hAnsi="宋体"/>
                <w:spacing w:val="8"/>
                <w:kern w:val="24"/>
                <w:sz w:val="21"/>
                <w:szCs w:val="21"/>
                <w:highlight w:val="none"/>
                <w:lang w:val="en-US" w:eastAsia="zh-CN" w:bidi="ar-SA"/>
              </w:rPr>
              <w:t>数字江门网络建设有限公司信息技术应用创新项目运维服务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rPr>
                <w:rFonts w:ascii="宋体" w:hAnsi="宋体"/>
                <w:szCs w:val="21"/>
                <w:highlight w:val="none"/>
              </w:rPr>
            </w:pPr>
            <w:r>
              <w:rPr>
                <w:rFonts w:hint="eastAsia" w:ascii="Times New Roman" w:hAnsi="宋体"/>
                <w:color w:val="000000"/>
                <w:szCs w:val="21"/>
                <w:highlight w:val="none"/>
                <w:lang w:bidi="ar"/>
              </w:rPr>
              <w:t>在</w:t>
            </w:r>
            <w:bookmarkStart w:id="5" w:name="Text47"/>
            <w:r>
              <w:rPr>
                <w:rFonts w:hint="eastAsia" w:ascii="宋体" w:hAnsi="宋体" w:eastAsia="宋体" w:cs="宋体"/>
                <w:sz w:val="21"/>
                <w:szCs w:val="21"/>
                <w:highlight w:val="none"/>
                <w:lang w:val="en-US" w:eastAsia="zh-CN"/>
              </w:rPr>
              <w:t>2022年11月23日17点</w:t>
            </w:r>
            <w:bookmarkEnd w:id="5"/>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rPr>
                <w:rFonts w:hint="eastAsia" w:ascii="宋体" w:hAnsi="宋体"/>
                <w:b/>
                <w:szCs w:val="21"/>
                <w:highlight w:val="none"/>
              </w:rPr>
            </w:pPr>
            <w:bookmarkStart w:id="6"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6"/>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rPr>
                <w:rFonts w:hint="eastAsia" w:ascii="宋体" w:hAnsi="宋体"/>
                <w:color w:val="000000"/>
                <w:szCs w:val="21"/>
                <w:highlight w:val="none"/>
              </w:rPr>
            </w:pPr>
            <w:r>
              <w:rPr>
                <w:rFonts w:hint="eastAsia" w:ascii="宋体" w:hAnsi="宋体"/>
                <w:color w:val="000000"/>
                <w:szCs w:val="21"/>
                <w:highlight w:val="none"/>
              </w:rPr>
              <w:t>项目名称：</w:t>
            </w:r>
            <w:r>
              <w:rPr>
                <w:rFonts w:hint="eastAsia" w:ascii="宋体" w:hAnsi="宋体"/>
                <w:color w:val="000000"/>
                <w:kern w:val="2"/>
                <w:sz w:val="21"/>
                <w:szCs w:val="21"/>
                <w:highlight w:val="none"/>
                <w:lang w:val="en-US" w:eastAsia="zh-CN" w:bidi="ar-SA"/>
              </w:rPr>
              <w:t>数字江门网络建设有限公司信息技术应用创新项目运维服务</w:t>
            </w:r>
          </w:p>
          <w:p>
            <w:pPr>
              <w:rPr>
                <w:rFonts w:ascii="宋体" w:hAnsi="宋体"/>
                <w:i/>
                <w:color w:val="000000"/>
                <w:szCs w:val="21"/>
                <w:highlight w:val="none"/>
              </w:rPr>
            </w:pPr>
            <w:r>
              <w:rPr>
                <w:rFonts w:hint="eastAsia" w:ascii="宋体" w:hAnsi="宋体"/>
                <w:color w:val="000000"/>
                <w:szCs w:val="21"/>
                <w:highlight w:val="none"/>
              </w:rPr>
              <w:t>采购</w:t>
            </w:r>
            <w:r>
              <w:rPr>
                <w:rFonts w:ascii="宋体" w:hAnsi="宋体"/>
                <w:color w:val="000000"/>
                <w:szCs w:val="21"/>
                <w:highlight w:val="none"/>
              </w:rPr>
              <w:t>人名称：</w:t>
            </w:r>
            <w:r>
              <w:rPr>
                <w:rFonts w:hint="eastAsia" w:ascii="Times New Roman" w:hAnsi="宋体"/>
                <w:color w:val="000000"/>
                <w:szCs w:val="21"/>
                <w:highlight w:val="none"/>
              </w:rPr>
              <w:t>数字江门网络建设有限公司</w:t>
            </w:r>
          </w:p>
          <w:p>
            <w:pP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bookmarkStart w:id="7" w:name="Text48"/>
            <w:r>
              <w:rPr>
                <w:rFonts w:hint="eastAsia" w:ascii="宋体" w:hAnsi="宋体" w:eastAsia="宋体" w:cs="宋体"/>
                <w:sz w:val="21"/>
                <w:szCs w:val="21"/>
                <w:highlight w:val="none"/>
                <w:lang w:val="en-US" w:eastAsia="zh-CN"/>
              </w:rPr>
              <w:t>2022年11月24日12时00分</w:t>
            </w:r>
            <w:bookmarkEnd w:id="7"/>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shd w:val="clear" w:color="auto" w:fill="auto"/>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shd w:val="clear" w:color="auto" w:fill="auto"/>
            <w:noWrap w:val="0"/>
            <w:vAlign w:val="center"/>
          </w:tcPr>
          <w:p>
            <w:pP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shd w:val="clear" w:color="auto" w:fill="auto"/>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shd w:val="clear" w:color="auto" w:fill="auto"/>
            <w:noWrap w:val="0"/>
            <w:vAlign w:val="center"/>
          </w:tcPr>
          <w:p>
            <w:pPr>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综合评分法，推选综合得分第一的为本项目成交候选人。</w:t>
            </w:r>
          </w:p>
          <w:p>
            <w:pP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15"/>
        <w:rPr>
          <w:rFonts w:hint="eastAsia"/>
          <w:lang w:val="en-US" w:eastAsia="zh-CN"/>
        </w:rPr>
      </w:pPr>
    </w:p>
    <w:p>
      <w:pP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jc w:val="center"/>
        <w:rPr>
          <w:sz w:val="32"/>
          <w:szCs w:val="32"/>
        </w:rPr>
      </w:pPr>
      <w:bookmarkStart w:id="8"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8"/>
    </w:p>
    <w:p>
      <w:pPr>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15"/>
        <w:rPr>
          <w:rFonts w:hint="eastAsia"/>
        </w:rPr>
      </w:pPr>
    </w:p>
    <w:p>
      <w:pPr>
        <w:widowControl/>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widowControl/>
        <w:numPr>
          <w:ilvl w:val="0"/>
          <w:numId w:val="3"/>
        </w:numPr>
        <w:spacing w:line="380" w:lineRule="exact"/>
        <w:jc w:val="left"/>
        <w:rPr>
          <w:rFonts w:hint="eastAsia" w:ascii="宋体" w:hAnsi="宋体"/>
          <w:b/>
          <w:color w:val="000000"/>
          <w:szCs w:val="21"/>
        </w:rPr>
      </w:pPr>
      <w:r>
        <w:rPr>
          <w:rFonts w:hint="eastAsia" w:ascii="宋体" w:hAnsi="宋体"/>
          <w:b/>
          <w:color w:val="000000"/>
          <w:szCs w:val="21"/>
        </w:rPr>
        <w:t>初步审查</w:t>
      </w:r>
    </w:p>
    <w:p>
      <w:pPr>
        <w:widowControl/>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评审小组对各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8"/>
        <w:tblW w:w="0" w:type="auto"/>
        <w:tblInd w:w="151"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rPr>
            </w:pPr>
            <w:r>
              <w:rPr>
                <w:rFonts w:hint="eastAsia" w:ascii="宋体" w:hAnsi="宋体" w:cs="宋体"/>
                <w:kern w:val="0"/>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bl>
    <w:p>
      <w:pPr>
        <w:pStyle w:val="41"/>
        <w:tabs>
          <w:tab w:val="left" w:pos="945"/>
          <w:tab w:val="left" w:pos="1050"/>
        </w:tabs>
        <w:jc w:val="both"/>
        <w:rPr>
          <w:rFonts w:hAnsi="宋体"/>
          <w:b/>
          <w:sz w:val="24"/>
          <w:highlight w:val="yellow"/>
        </w:rPr>
      </w:pPr>
    </w:p>
    <w:p>
      <w:pPr>
        <w:widowControl/>
        <w:numPr>
          <w:ilvl w:val="0"/>
          <w:numId w:val="3"/>
        </w:numPr>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30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商务评分（30分）</w:t>
            </w:r>
          </w:p>
        </w:tc>
        <w:tc>
          <w:tcPr>
            <w:tcW w:w="1501" w:type="dxa"/>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经营业绩</w:t>
            </w:r>
          </w:p>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（10分）</w:t>
            </w:r>
          </w:p>
        </w:tc>
        <w:tc>
          <w:tcPr>
            <w:tcW w:w="6320" w:type="dxa"/>
            <w:noWrap w:val="0"/>
            <w:vAlign w:val="center"/>
          </w:tcPr>
          <w:p>
            <w:pPr>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人（2018同签订日期为准）承担过同类项目的情况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优：10分，良：8分，中：5分，差：2分，没有的得0分。</w:t>
            </w:r>
          </w:p>
          <w:p>
            <w:pPr>
              <w:pStyle w:val="43"/>
              <w:spacing w:line="240" w:lineRule="auto"/>
              <w:ind w:firstLine="0" w:firstLineChars="0"/>
              <w:jc w:val="left"/>
              <w:rPr>
                <w:rFonts w:hint="eastAsia" w:ascii="宋体" w:hAnsi="宋体" w:eastAsia="宋体" w:cs="宋体"/>
                <w:color w:val="auto"/>
                <w:sz w:val="21"/>
                <w:szCs w:val="21"/>
                <w:highlight w:val="yellow"/>
              </w:rPr>
            </w:pPr>
            <w:r>
              <w:rPr>
                <w:rFonts w:hint="eastAsia" w:ascii="宋体" w:hAnsi="宋体" w:eastAsia="宋体" w:cs="宋体"/>
                <w:color w:val="auto"/>
                <w:sz w:val="21"/>
                <w:szCs w:val="21"/>
              </w:rPr>
              <w:t>需提供</w:t>
            </w:r>
            <w:r>
              <w:rPr>
                <w:rFonts w:hint="eastAsia" w:ascii="宋体" w:hAnsi="宋体" w:eastAsia="宋体" w:cs="宋体"/>
                <w:color w:val="auto"/>
                <w:sz w:val="21"/>
                <w:szCs w:val="21"/>
                <w:u w:val="single"/>
              </w:rPr>
              <w:t>项目服务合同</w:t>
            </w:r>
            <w:r>
              <w:rPr>
                <w:rFonts w:hint="eastAsia" w:ascii="宋体" w:hAnsi="宋体" w:eastAsia="宋体" w:cs="宋体"/>
                <w:color w:val="auto"/>
                <w:sz w:val="21"/>
                <w:szCs w:val="21"/>
              </w:rPr>
              <w:t>复印件，并加盖</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p>
        </w:tc>
        <w:tc>
          <w:tcPr>
            <w:tcW w:w="1501" w:type="dxa"/>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财务状况</w:t>
            </w:r>
          </w:p>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（5分）</w:t>
            </w:r>
          </w:p>
        </w:tc>
        <w:tc>
          <w:tcPr>
            <w:tcW w:w="6320" w:type="dxa"/>
            <w:noWrap w:val="0"/>
            <w:vAlign w:val="center"/>
          </w:tcPr>
          <w:p>
            <w:pPr>
              <w:spacing w:line="240" w:lineRule="auto"/>
              <w:ind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人2019年-2022年企业财务情况</w:t>
            </w:r>
            <w:r>
              <w:rPr>
                <w:rFonts w:hint="eastAsia" w:ascii="宋体" w:hAnsi="宋体" w:eastAsia="宋体" w:cs="宋体"/>
                <w:color w:val="auto"/>
                <w:sz w:val="21"/>
                <w:szCs w:val="21"/>
                <w:lang w:eastAsia="zh-CN"/>
              </w:rPr>
              <w:t>：</w:t>
            </w:r>
          </w:p>
          <w:p>
            <w:pPr>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优：5分，良：3分，中：2分，差：1分。</w:t>
            </w:r>
          </w:p>
          <w:p>
            <w:pPr>
              <w:pStyle w:val="43"/>
              <w:spacing w:line="240" w:lineRule="auto"/>
              <w:ind w:firstLine="0" w:firstLineChars="0"/>
              <w:jc w:val="left"/>
              <w:rPr>
                <w:rFonts w:hint="eastAsia" w:ascii="宋体" w:hAnsi="宋体" w:eastAsia="宋体" w:cs="宋体"/>
                <w:color w:val="auto"/>
                <w:sz w:val="21"/>
                <w:szCs w:val="21"/>
                <w:highlight w:val="yellow"/>
              </w:rPr>
            </w:pPr>
            <w:r>
              <w:rPr>
                <w:rFonts w:hint="eastAsia" w:ascii="宋体" w:hAnsi="宋体" w:eastAsia="宋体" w:cs="宋体"/>
                <w:color w:val="auto"/>
                <w:sz w:val="21"/>
                <w:szCs w:val="21"/>
              </w:rPr>
              <w:t>需提供</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人2019年-2022年的财务审计报告复印件，并加盖</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p>
        </w:tc>
        <w:tc>
          <w:tcPr>
            <w:tcW w:w="1501" w:type="dxa"/>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规章管理制度（5分）</w:t>
            </w:r>
          </w:p>
        </w:tc>
        <w:tc>
          <w:tcPr>
            <w:tcW w:w="6320" w:type="dxa"/>
            <w:noWrap w:val="0"/>
            <w:vAlign w:val="center"/>
          </w:tcPr>
          <w:p>
            <w:pPr>
              <w:pStyle w:val="43"/>
              <w:spacing w:line="240" w:lineRule="auto"/>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人的各项规章管理制度是否详细、合理</w:t>
            </w:r>
            <w:r>
              <w:rPr>
                <w:rFonts w:hint="eastAsia" w:ascii="宋体" w:hAnsi="宋体" w:eastAsia="宋体" w:cs="宋体"/>
                <w:color w:val="auto"/>
                <w:sz w:val="21"/>
                <w:szCs w:val="21"/>
                <w:lang w:eastAsia="zh-CN"/>
              </w:rPr>
              <w:t>：</w:t>
            </w:r>
          </w:p>
          <w:p>
            <w:pPr>
              <w:pStyle w:val="43"/>
              <w:spacing w:line="240" w:lineRule="auto"/>
              <w:ind w:firstLine="0" w:firstLineChars="0"/>
              <w:jc w:val="left"/>
              <w:rPr>
                <w:rFonts w:hint="eastAsia" w:ascii="宋体" w:hAnsi="宋体" w:eastAsia="宋体" w:cs="宋体"/>
                <w:color w:val="auto"/>
                <w:kern w:val="0"/>
                <w:sz w:val="21"/>
                <w:szCs w:val="21"/>
                <w:lang w:bidi="ar"/>
              </w:rPr>
            </w:pPr>
            <w:r>
              <w:rPr>
                <w:rFonts w:hint="eastAsia" w:ascii="宋体" w:hAnsi="宋体" w:eastAsia="宋体" w:cs="宋体"/>
                <w:color w:val="auto"/>
                <w:sz w:val="21"/>
                <w:szCs w:val="21"/>
              </w:rPr>
              <w:t>优：5分，良：3分，中：2分，差：1分。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p>
        </w:tc>
        <w:tc>
          <w:tcPr>
            <w:tcW w:w="1501" w:type="dxa"/>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资信情况与履约能力</w:t>
            </w:r>
          </w:p>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（10分）</w:t>
            </w:r>
          </w:p>
        </w:tc>
        <w:tc>
          <w:tcPr>
            <w:tcW w:w="6320" w:type="dxa"/>
            <w:noWrap w:val="0"/>
            <w:vAlign w:val="center"/>
          </w:tcPr>
          <w:p>
            <w:pPr>
              <w:pStyle w:val="43"/>
              <w:spacing w:line="240" w:lineRule="auto"/>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人的资信情况是否良好与是否具有较好的履约能力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优：10分，良：8分，中：5分，差：2分。</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pStyle w:val="2"/>
        <w:rPr>
          <w:rFonts w:hint="eastAsia" w:ascii="宋体" w:hAnsi="宋体" w:cs="宋体"/>
          <w:color w:val="000000"/>
          <w:kern w:val="0"/>
          <w:szCs w:val="21"/>
        </w:rPr>
      </w:pPr>
    </w:p>
    <w:p>
      <w:pPr>
        <w:pStyle w:val="2"/>
        <w:rPr>
          <w:rFonts w:hint="eastAsia" w:ascii="宋体" w:hAnsi="宋体" w:cs="宋体"/>
          <w:color w:val="000000"/>
          <w:kern w:val="0"/>
          <w:szCs w:val="21"/>
        </w:rPr>
      </w:pPr>
    </w:p>
    <w:p>
      <w:pPr>
        <w:rPr>
          <w:rFonts w:hint="eastAsia"/>
        </w:rPr>
      </w:pPr>
    </w:p>
    <w:p>
      <w:pPr>
        <w:pStyle w:val="41"/>
        <w:tabs>
          <w:tab w:val="left" w:pos="945"/>
          <w:tab w:val="left" w:pos="1050"/>
        </w:tabs>
        <w:jc w:val="both"/>
        <w:rPr>
          <w:rFonts w:hint="eastAsia" w:ascii="宋体" w:hAnsi="宋体" w:eastAsia="宋体" w:cs="Times New Roman"/>
          <w:b/>
          <w:kern w:val="2"/>
          <w:sz w:val="21"/>
          <w:szCs w:val="21"/>
          <w:highlight w:val="none"/>
          <w:lang w:val="en-US" w:eastAsia="zh-CN" w:bidi="ar-SA"/>
        </w:rPr>
      </w:pP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50</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Style w:val="43"/>
              <w:ind w:firstLine="0" w:firstLineChars="0"/>
              <w:rPr>
                <w:rFonts w:hint="eastAsia" w:ascii="宋体" w:hAnsi="宋体" w:eastAsia="宋体" w:cs="宋体"/>
                <w:color w:val="auto"/>
                <w:sz w:val="21"/>
                <w:szCs w:val="21"/>
              </w:rPr>
            </w:pPr>
            <w:r>
              <w:rPr>
                <w:rFonts w:hint="eastAsia" w:ascii="宋体" w:hAnsi="宋体" w:eastAsia="宋体" w:cs="宋体"/>
                <w:bCs/>
                <w:color w:val="auto"/>
                <w:sz w:val="21"/>
                <w:szCs w:val="21"/>
              </w:rPr>
              <w:t>技术评分（50分）</w:t>
            </w:r>
          </w:p>
        </w:tc>
        <w:tc>
          <w:tcPr>
            <w:tcW w:w="1501" w:type="dxa"/>
            <w:noWrap w:val="0"/>
            <w:vAlign w:val="center"/>
          </w:tcPr>
          <w:p>
            <w:pPr>
              <w:pStyle w:val="43"/>
              <w:ind w:firstLine="0" w:firstLineChars="0"/>
              <w:rPr>
                <w:rFonts w:hint="eastAsia" w:ascii="宋体" w:hAnsi="宋体" w:eastAsia="宋体" w:cs="宋体"/>
                <w:color w:val="auto"/>
                <w:kern w:val="0"/>
                <w:sz w:val="21"/>
                <w:szCs w:val="21"/>
                <w:highlight w:val="yellow"/>
              </w:rPr>
            </w:pPr>
            <w:r>
              <w:rPr>
                <w:rFonts w:hint="eastAsia" w:ascii="宋体" w:hAnsi="宋体" w:eastAsia="宋体" w:cs="宋体"/>
                <w:color w:val="auto"/>
                <w:sz w:val="21"/>
                <w:szCs w:val="21"/>
              </w:rPr>
              <w:t>项目理解程度（5分）</w:t>
            </w:r>
          </w:p>
        </w:tc>
        <w:tc>
          <w:tcPr>
            <w:tcW w:w="6320"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人对项目整体的理解和认识的响应程度</w:t>
            </w:r>
            <w:r>
              <w:rPr>
                <w:rFonts w:hint="eastAsia" w:ascii="宋体" w:hAnsi="宋体" w:eastAsia="宋体" w:cs="宋体"/>
                <w:color w:val="auto"/>
                <w:sz w:val="21"/>
                <w:szCs w:val="21"/>
                <w:lang w:eastAsia="zh-CN"/>
              </w:rPr>
              <w:t>：</w:t>
            </w:r>
          </w:p>
          <w:p>
            <w:pPr>
              <w:pStyle w:val="43"/>
              <w:ind w:firstLine="0" w:firstLineChars="0"/>
              <w:jc w:val="left"/>
              <w:rPr>
                <w:rFonts w:hint="eastAsia" w:ascii="宋体" w:hAnsi="宋体" w:eastAsia="宋体" w:cs="宋体"/>
                <w:color w:val="auto"/>
                <w:sz w:val="21"/>
                <w:szCs w:val="21"/>
                <w:highlight w:val="yellow"/>
              </w:rPr>
            </w:pPr>
            <w:r>
              <w:rPr>
                <w:rFonts w:hint="eastAsia" w:ascii="宋体" w:hAnsi="宋体" w:eastAsia="宋体" w:cs="宋体"/>
                <w:color w:val="auto"/>
                <w:sz w:val="21"/>
                <w:szCs w:val="21"/>
              </w:rPr>
              <w:t>优：5分，良：3分，中：2分，差：1分。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Style w:val="43"/>
              <w:ind w:firstLine="0" w:firstLineChars="0"/>
              <w:rPr>
                <w:rFonts w:hint="eastAsia" w:ascii="宋体" w:hAnsi="宋体" w:eastAsia="宋体" w:cs="宋体"/>
                <w:color w:val="auto"/>
                <w:sz w:val="21"/>
                <w:szCs w:val="21"/>
                <w:highlight w:val="yellow"/>
              </w:rPr>
            </w:pPr>
          </w:p>
        </w:tc>
        <w:tc>
          <w:tcPr>
            <w:tcW w:w="1501" w:type="dxa"/>
            <w:noWrap w:val="0"/>
            <w:vAlign w:val="center"/>
          </w:tcPr>
          <w:p>
            <w:pPr>
              <w:pStyle w:val="43"/>
              <w:ind w:firstLine="0" w:firstLineChars="0"/>
              <w:rPr>
                <w:rFonts w:hint="eastAsia" w:ascii="宋体" w:hAnsi="宋体" w:eastAsia="宋体" w:cs="宋体"/>
                <w:color w:val="auto"/>
                <w:kern w:val="0"/>
                <w:sz w:val="21"/>
                <w:szCs w:val="21"/>
                <w:highlight w:val="yellow"/>
              </w:rPr>
            </w:pP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服务计划（5分）</w:t>
            </w:r>
          </w:p>
        </w:tc>
        <w:tc>
          <w:tcPr>
            <w:tcW w:w="6320"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人所投报服务计划的合理性、可行性</w:t>
            </w:r>
            <w:r>
              <w:rPr>
                <w:rFonts w:hint="eastAsia" w:ascii="宋体" w:hAnsi="宋体" w:eastAsia="宋体" w:cs="宋体"/>
                <w:color w:val="auto"/>
                <w:sz w:val="21"/>
                <w:szCs w:val="21"/>
                <w:lang w:eastAsia="zh-CN"/>
              </w:rPr>
              <w:t>：</w:t>
            </w:r>
          </w:p>
          <w:p>
            <w:pPr>
              <w:pStyle w:val="43"/>
              <w:ind w:firstLine="0" w:firstLineChars="0"/>
              <w:jc w:val="left"/>
              <w:rPr>
                <w:rFonts w:hint="eastAsia" w:ascii="宋体" w:hAnsi="宋体" w:eastAsia="宋体" w:cs="宋体"/>
                <w:color w:val="auto"/>
                <w:sz w:val="21"/>
                <w:szCs w:val="21"/>
                <w:highlight w:val="yellow"/>
              </w:rPr>
            </w:pPr>
            <w:r>
              <w:rPr>
                <w:rFonts w:hint="eastAsia" w:ascii="宋体" w:hAnsi="宋体" w:eastAsia="宋体" w:cs="宋体"/>
                <w:color w:val="auto"/>
                <w:sz w:val="21"/>
                <w:szCs w:val="21"/>
              </w:rPr>
              <w:t>优：优：5分，良：3分，中：2分，差：1分。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Style w:val="43"/>
              <w:ind w:firstLine="0" w:firstLineChars="0"/>
              <w:rPr>
                <w:rFonts w:hint="eastAsia" w:ascii="宋体" w:hAnsi="宋体" w:eastAsia="宋体" w:cs="宋体"/>
                <w:color w:val="auto"/>
                <w:sz w:val="21"/>
                <w:szCs w:val="21"/>
                <w:highlight w:val="yellow"/>
              </w:rPr>
            </w:pPr>
          </w:p>
        </w:tc>
        <w:tc>
          <w:tcPr>
            <w:tcW w:w="1501" w:type="dxa"/>
            <w:noWrap w:val="0"/>
            <w:vAlign w:val="center"/>
          </w:tcPr>
          <w:p>
            <w:pPr>
              <w:pStyle w:val="43"/>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服务水平</w:t>
            </w:r>
          </w:p>
          <w:p>
            <w:pPr>
              <w:pStyle w:val="43"/>
              <w:ind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sz w:val="21"/>
                <w:szCs w:val="21"/>
              </w:rPr>
              <w:t>（20分）</w:t>
            </w:r>
          </w:p>
        </w:tc>
        <w:tc>
          <w:tcPr>
            <w:tcW w:w="6320"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人的服务水平，包括相关设备的维护能力及经验、售后服务等情况</w:t>
            </w:r>
            <w:r>
              <w:rPr>
                <w:rFonts w:hint="eastAsia" w:ascii="宋体" w:hAnsi="宋体" w:eastAsia="宋体" w:cs="宋体"/>
                <w:color w:val="auto"/>
                <w:sz w:val="21"/>
                <w:szCs w:val="21"/>
                <w:lang w:eastAsia="zh-CN"/>
              </w:rPr>
              <w:t>：</w:t>
            </w:r>
          </w:p>
          <w:p>
            <w:pPr>
              <w:pStyle w:val="43"/>
              <w:ind w:firstLine="0" w:firstLineChars="0"/>
              <w:jc w:val="left"/>
              <w:rPr>
                <w:rFonts w:hint="eastAsia" w:ascii="宋体" w:hAnsi="宋体" w:eastAsia="宋体" w:cs="宋体"/>
                <w:color w:val="auto"/>
                <w:kern w:val="0"/>
                <w:sz w:val="21"/>
                <w:szCs w:val="21"/>
                <w:lang w:bidi="ar"/>
              </w:rPr>
            </w:pPr>
            <w:r>
              <w:rPr>
                <w:rFonts w:hint="eastAsia" w:ascii="宋体" w:hAnsi="宋体" w:eastAsia="宋体" w:cs="宋体"/>
                <w:color w:val="auto"/>
                <w:sz w:val="21"/>
                <w:szCs w:val="21"/>
              </w:rPr>
              <w:t>优：20分，良：15分，中：10分，差：5分。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Style w:val="43"/>
              <w:ind w:firstLine="0" w:firstLineChars="0"/>
              <w:rPr>
                <w:rFonts w:hint="eastAsia" w:ascii="宋体" w:hAnsi="宋体" w:eastAsia="宋体" w:cs="宋体"/>
                <w:color w:val="auto"/>
                <w:sz w:val="21"/>
                <w:szCs w:val="21"/>
                <w:highlight w:val="yellow"/>
              </w:rPr>
            </w:pPr>
          </w:p>
        </w:tc>
        <w:tc>
          <w:tcPr>
            <w:tcW w:w="1501" w:type="dxa"/>
            <w:noWrap w:val="0"/>
            <w:vAlign w:val="center"/>
          </w:tcPr>
          <w:p>
            <w:pPr>
              <w:pStyle w:val="43"/>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技术响应程度</w:t>
            </w:r>
          </w:p>
          <w:p>
            <w:pPr>
              <w:pStyle w:val="43"/>
              <w:ind w:firstLine="0" w:firstLineChars="0"/>
              <w:rPr>
                <w:rFonts w:hint="eastAsia" w:ascii="宋体" w:hAnsi="宋体" w:eastAsia="宋体" w:cs="宋体"/>
                <w:color w:val="auto"/>
                <w:kern w:val="0"/>
                <w:sz w:val="21"/>
                <w:szCs w:val="21"/>
              </w:rPr>
            </w:pPr>
            <w:r>
              <w:rPr>
                <w:rFonts w:hint="eastAsia" w:ascii="宋体" w:hAnsi="宋体" w:eastAsia="宋体" w:cs="宋体"/>
                <w:color w:val="auto"/>
                <w:sz w:val="21"/>
                <w:szCs w:val="21"/>
              </w:rPr>
              <w:t>（20分）</w:t>
            </w:r>
          </w:p>
        </w:tc>
        <w:tc>
          <w:tcPr>
            <w:tcW w:w="6320" w:type="dxa"/>
            <w:noWrap w:val="0"/>
            <w:vAlign w:val="center"/>
          </w:tcPr>
          <w:p>
            <w:pPr>
              <w:pStyle w:val="43"/>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sz w:val="21"/>
                <w:szCs w:val="21"/>
              </w:rPr>
              <w:t>考查、对比所有</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人对技术部分响应程度,完全满足得20分，未标▲部分，有一项不满足扣2分，标▲部分，有一项不满足扣5分，扣完为止。</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bidi w:val="0"/>
        <w:rPr>
          <w:rFonts w:hint="eastAsia"/>
          <w:highlight w:val="none"/>
        </w:rPr>
      </w:pPr>
    </w:p>
    <w:p>
      <w:pPr>
        <w:rPr>
          <w:rFonts w:hint="eastAsia"/>
          <w:highlight w:val="none"/>
        </w:rPr>
        <w:sectPr>
          <w:footerReference r:id="rId8" w:type="first"/>
          <w:footerReference r:id="rId7" w:type="default"/>
          <w:pgSz w:w="11906" w:h="16838"/>
          <w:pgMar w:top="1610" w:right="1474" w:bottom="1304" w:left="1474" w:header="851" w:footer="684" w:gutter="0"/>
          <w:pgNumType w:fmt="decimal"/>
          <w:cols w:space="720" w:num="1"/>
          <w:docGrid w:type="lines" w:linePitch="312" w:charSpace="0"/>
        </w:sectPr>
      </w:pPr>
    </w:p>
    <w:p>
      <w:pP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20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shd w:val="clear" w:color="auto" w:fill="auto"/>
            <w:noWrap w:val="0"/>
            <w:vAlign w:val="center"/>
          </w:tcPr>
          <w:p>
            <w:pPr>
              <w:jc w:val="center"/>
              <w:rPr>
                <w:rFonts w:ascii="宋体" w:hAnsi="宋体"/>
                <w:szCs w:val="24"/>
                <w:highlight w:val="none"/>
              </w:rPr>
            </w:pPr>
            <w:r>
              <w:rPr>
                <w:rFonts w:ascii="宋体" w:hAnsi="宋体"/>
                <w:szCs w:val="24"/>
                <w:highlight w:val="none"/>
              </w:rPr>
              <w:t>1</w:t>
            </w:r>
          </w:p>
        </w:tc>
        <w:tc>
          <w:tcPr>
            <w:tcW w:w="1058" w:type="dxa"/>
            <w:shd w:val="clear" w:color="auto" w:fill="auto"/>
            <w:noWrap w:val="0"/>
            <w:vAlign w:val="center"/>
          </w:tcPr>
          <w:p>
            <w:pPr>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shd w:val="clear" w:color="auto" w:fill="auto"/>
            <w:noWrap w:val="0"/>
            <w:vAlign w:val="center"/>
          </w:tcPr>
          <w:p>
            <w:pPr>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shd w:val="clear" w:color="auto" w:fill="auto"/>
            <w:noWrap w:val="0"/>
            <w:vAlign w:val="center"/>
          </w:tcPr>
          <w:p>
            <w:pPr>
              <w:rPr>
                <w:rFonts w:hint="eastAsia"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rPr>
                <w:rFonts w:hint="eastAsia" w:ascii="宋体" w:hAnsi="宋体"/>
                <w:highlight w:val="none"/>
              </w:rPr>
            </w:pPr>
            <w:r>
              <w:rPr>
                <w:rFonts w:hint="eastAsia" w:ascii="宋体" w:hAnsi="宋体"/>
                <w:highlight w:val="none"/>
              </w:rPr>
              <w:t>2、经济分统一采用低价优先法计算，即满足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pPr>
              <w:rPr>
                <w:rFonts w:hint="eastAsia" w:ascii="宋体" w:hAnsi="宋体"/>
                <w:highlight w:val="none"/>
              </w:rPr>
            </w:pPr>
            <w:r>
              <w:rPr>
                <w:rFonts w:hint="eastAsia" w:ascii="宋体" w:hAnsi="宋体"/>
                <w:highlight w:val="none"/>
                <w:lang w:val="en-US" w:eastAsia="zh-CN"/>
              </w:rPr>
              <w:t>采购</w:t>
            </w:r>
            <w:r>
              <w:rPr>
                <w:rFonts w:hint="eastAsia" w:ascii="宋体" w:hAnsi="宋体"/>
                <w:highlight w:val="none"/>
              </w:rPr>
              <w:t>报价得分=（</w:t>
            </w:r>
            <w:r>
              <w:rPr>
                <w:rFonts w:hint="eastAsia" w:ascii="宋体" w:hAnsi="宋体"/>
                <w:highlight w:val="none"/>
                <w:lang w:val="en-US" w:eastAsia="zh-CN"/>
              </w:rPr>
              <w:t>采购</w:t>
            </w:r>
            <w:r>
              <w:rPr>
                <w:rFonts w:hint="eastAsia" w:ascii="宋体" w:hAnsi="宋体"/>
                <w:highlight w:val="none"/>
              </w:rPr>
              <w:t>基准价/评</w:t>
            </w:r>
            <w:r>
              <w:rPr>
                <w:rFonts w:hint="eastAsia" w:ascii="宋体" w:hAnsi="宋体"/>
                <w:highlight w:val="none"/>
                <w:lang w:val="en-US" w:eastAsia="zh-CN"/>
              </w:rPr>
              <w:t>审</w:t>
            </w:r>
            <w:r>
              <w:rPr>
                <w:rFonts w:hint="eastAsia" w:ascii="宋体" w:hAnsi="宋体"/>
                <w:highlight w:val="none"/>
              </w:rPr>
              <w:t>价）×</w:t>
            </w:r>
            <w:r>
              <w:rPr>
                <w:rFonts w:hint="eastAsia" w:ascii="宋体" w:hAnsi="宋体"/>
                <w:highlight w:val="none"/>
                <w:lang w:val="en-US" w:eastAsia="zh-CN"/>
              </w:rPr>
              <w:t>20</w:t>
            </w:r>
            <w:r>
              <w:rPr>
                <w:rFonts w:hint="eastAsia" w:ascii="宋体" w:hAnsi="宋体"/>
                <w:highlight w:val="none"/>
              </w:rPr>
              <w:t>分</w:t>
            </w:r>
          </w:p>
          <w:p>
            <w:pPr>
              <w:rPr>
                <w:rFonts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highlight w:val="none"/>
                <w:lang w:val="en-US" w:eastAsia="zh-CN"/>
              </w:rPr>
              <w:t>成交</w:t>
            </w:r>
            <w:r>
              <w:rPr>
                <w:rFonts w:hint="eastAsia" w:ascii="宋体" w:hAnsi="宋体"/>
                <w:highlight w:val="none"/>
              </w:rPr>
              <w:t>金额以实际报价为准。</w:t>
            </w:r>
          </w:p>
        </w:tc>
        <w:tc>
          <w:tcPr>
            <w:tcW w:w="851" w:type="dxa"/>
            <w:shd w:val="clear" w:color="auto" w:fill="auto"/>
            <w:noWrap w:val="0"/>
            <w:vAlign w:val="center"/>
          </w:tcPr>
          <w:p>
            <w:pPr>
              <w:autoSpaceDE w:val="0"/>
              <w:autoSpaceDN w:val="0"/>
              <w:adjustRightInd w:val="0"/>
              <w:jc w:val="center"/>
              <w:rPr>
                <w:rFonts w:ascii="宋体" w:hAnsi="宋体" w:cs="宋体"/>
                <w:kern w:val="0"/>
                <w:sz w:val="24"/>
                <w:szCs w:val="24"/>
                <w:highlight w:val="none"/>
              </w:rPr>
            </w:pPr>
            <w:r>
              <w:rPr>
                <w:rFonts w:hint="eastAsia" w:ascii="宋体" w:hAnsi="宋体"/>
                <w:highlight w:val="none"/>
                <w:lang w:val="en-US" w:eastAsia="zh-CN"/>
              </w:rPr>
              <w:t>20</w:t>
            </w:r>
            <w:r>
              <w:rPr>
                <w:rFonts w:hint="eastAsia" w:ascii="宋体" w:hAnsi="宋体"/>
                <w:highlight w:val="none"/>
              </w:rPr>
              <w:t>分</w:t>
            </w:r>
          </w:p>
        </w:tc>
      </w:tr>
    </w:tbl>
    <w:p>
      <w:pPr>
        <w:pStyle w:val="41"/>
        <w:tabs>
          <w:tab w:val="left" w:pos="945"/>
          <w:tab w:val="left" w:pos="1050"/>
        </w:tabs>
        <w:jc w:val="both"/>
        <w:rPr>
          <w:rFonts w:hAnsi="宋体"/>
          <w:b/>
          <w:sz w:val="24"/>
          <w:highlight w:val="yellow"/>
        </w:rPr>
      </w:pPr>
    </w:p>
    <w:p>
      <w:pPr>
        <w:spacing w:before="120" w:after="120"/>
        <w:rPr>
          <w:rFonts w:hint="default" w:ascii="宋体" w:hAnsi="宋体" w:cs="Arial"/>
          <w:b/>
          <w:szCs w:val="21"/>
          <w:highlight w:val="none"/>
          <w:lang w:val="en-US" w:eastAsia="zh-CN"/>
        </w:rPr>
      </w:pPr>
      <w:bookmarkStart w:id="9" w:name="_Toc197247445"/>
      <w:r>
        <w:rPr>
          <w:rFonts w:hint="eastAsia" w:ascii="宋体" w:hAnsi="宋体" w:cs="Arial"/>
          <w:b/>
          <w:szCs w:val="21"/>
          <w:highlight w:val="none"/>
          <w:lang w:val="en-US" w:eastAsia="zh-CN"/>
        </w:rPr>
        <w:t>五、评审方法</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 xml:space="preserve">1 </w:t>
      </w:r>
      <w:r>
        <w:rPr>
          <w:rFonts w:hint="eastAsia" w:ascii="宋体" w:hAnsi="宋体" w:cs="宋体"/>
          <w:color w:val="000000"/>
          <w:kern w:val="0"/>
          <w:szCs w:val="21"/>
        </w:rPr>
        <w:t>响应文件</w:t>
      </w:r>
      <w:r>
        <w:rPr>
          <w:rFonts w:ascii="宋体" w:hAnsi="宋体" w:cs="宋体"/>
          <w:color w:val="000000"/>
          <w:kern w:val="0"/>
          <w:szCs w:val="21"/>
        </w:rPr>
        <w:t>的初步评审</w:t>
      </w:r>
      <w:bookmarkEnd w:id="9"/>
      <w:r>
        <w:rPr>
          <w:rFonts w:hint="eastAsia" w:ascii="宋体" w:hAnsi="宋体" w:cs="宋体"/>
          <w:color w:val="000000"/>
          <w:kern w:val="0"/>
          <w:szCs w:val="21"/>
        </w:rPr>
        <w:t>说明</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.1</w:t>
      </w:r>
      <w:r>
        <w:rPr>
          <w:rFonts w:ascii="宋体" w:hAnsi="宋体" w:cs="宋体"/>
          <w:color w:val="000000"/>
          <w:kern w:val="0"/>
          <w:szCs w:val="21"/>
        </w:rPr>
        <w:t>在初步评审中，评审委员会将首先审定每份</w:t>
      </w:r>
      <w:r>
        <w:rPr>
          <w:rFonts w:hint="eastAsia" w:ascii="宋体" w:hAnsi="宋体" w:cs="宋体"/>
          <w:color w:val="000000"/>
          <w:kern w:val="0"/>
          <w:szCs w:val="21"/>
        </w:rPr>
        <w:t>响应文件</w:t>
      </w:r>
      <w:r>
        <w:rPr>
          <w:rFonts w:ascii="宋体" w:hAnsi="宋体" w:cs="宋体"/>
          <w:color w:val="000000"/>
          <w:kern w:val="0"/>
          <w:szCs w:val="21"/>
        </w:rPr>
        <w:t xml:space="preserve">是否响应了采购文件的下述要求。 </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.2</w:t>
      </w:r>
      <w:r>
        <w:rPr>
          <w:rFonts w:ascii="宋体" w:hAnsi="宋体" w:cs="宋体"/>
          <w:color w:val="000000"/>
          <w:kern w:val="0"/>
          <w:szCs w:val="21"/>
        </w:rPr>
        <w:t>如发现下列情况之一的，其</w:t>
      </w:r>
      <w:r>
        <w:rPr>
          <w:rFonts w:hint="eastAsia" w:ascii="宋体" w:hAnsi="宋体" w:cs="宋体"/>
          <w:color w:val="000000"/>
          <w:kern w:val="0"/>
          <w:szCs w:val="21"/>
        </w:rPr>
        <w:t>响应文件将</w:t>
      </w:r>
      <w:r>
        <w:rPr>
          <w:rFonts w:ascii="宋体" w:hAnsi="宋体" w:cs="宋体"/>
          <w:color w:val="000000"/>
          <w:kern w:val="0"/>
          <w:szCs w:val="21"/>
        </w:rPr>
        <w:t>进行否决</w:t>
      </w:r>
      <w:r>
        <w:rPr>
          <w:rFonts w:hint="eastAsia" w:ascii="宋体" w:hAnsi="宋体" w:cs="宋体"/>
          <w:color w:val="000000"/>
          <w:kern w:val="0"/>
          <w:szCs w:val="21"/>
        </w:rPr>
        <w:t>评审</w:t>
      </w:r>
      <w:r>
        <w:rPr>
          <w:rFonts w:ascii="宋体" w:hAnsi="宋体" w:cs="宋体"/>
          <w:color w:val="000000"/>
          <w:kern w:val="0"/>
          <w:szCs w:val="21"/>
        </w:rPr>
        <w:t>处理：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未按照</w:t>
      </w:r>
      <w:r>
        <w:rPr>
          <w:rFonts w:hint="eastAsia" w:ascii="宋体" w:hAnsi="宋体" w:cs="宋体"/>
          <w:color w:val="000000"/>
          <w:kern w:val="0"/>
          <w:szCs w:val="21"/>
        </w:rPr>
        <w:t>采购文件</w:t>
      </w:r>
      <w:r>
        <w:rPr>
          <w:rFonts w:ascii="宋体" w:hAnsi="宋体" w:cs="宋体"/>
          <w:color w:val="000000"/>
          <w:kern w:val="0"/>
          <w:szCs w:val="21"/>
        </w:rPr>
        <w:t>要求提供</w:t>
      </w:r>
      <w:r>
        <w:rPr>
          <w:rFonts w:hint="eastAsia" w:ascii="宋体" w:hAnsi="宋体" w:cs="宋体"/>
          <w:color w:val="000000"/>
          <w:kern w:val="0"/>
          <w:szCs w:val="21"/>
        </w:rPr>
        <w:t>询价</w:t>
      </w:r>
      <w:r>
        <w:rPr>
          <w:rFonts w:ascii="宋体" w:hAnsi="宋体" w:cs="宋体"/>
          <w:color w:val="000000"/>
          <w:kern w:val="0"/>
          <w:szCs w:val="21"/>
        </w:rPr>
        <w:t>担保或者所提供的</w:t>
      </w:r>
      <w:r>
        <w:rPr>
          <w:rFonts w:hint="eastAsia" w:ascii="宋体" w:hAnsi="宋体" w:cs="宋体"/>
          <w:color w:val="000000"/>
          <w:kern w:val="0"/>
          <w:szCs w:val="21"/>
        </w:rPr>
        <w:t>响应</w:t>
      </w:r>
      <w:r>
        <w:rPr>
          <w:rFonts w:ascii="宋体" w:hAnsi="宋体" w:cs="宋体"/>
          <w:color w:val="000000"/>
          <w:kern w:val="0"/>
          <w:szCs w:val="21"/>
        </w:rPr>
        <w:t>担保有瑕疵；</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超出经营范围</w:t>
      </w:r>
      <w:r>
        <w:rPr>
          <w:rFonts w:hint="eastAsia" w:ascii="宋体" w:hAnsi="宋体" w:cs="宋体"/>
          <w:color w:val="000000"/>
          <w:kern w:val="0"/>
          <w:szCs w:val="21"/>
        </w:rPr>
        <w:t>询价</w:t>
      </w:r>
      <w:r>
        <w:rPr>
          <w:rFonts w:ascii="宋体" w:hAnsi="宋体" w:cs="宋体"/>
          <w:color w:val="000000"/>
          <w:kern w:val="0"/>
          <w:szCs w:val="21"/>
        </w:rPr>
        <w:t>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资格证明文件不全的；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没有</w:t>
      </w:r>
      <w:r>
        <w:rPr>
          <w:rFonts w:hint="eastAsia" w:ascii="宋体" w:hAnsi="宋体" w:cs="宋体"/>
          <w:color w:val="000000"/>
          <w:kern w:val="0"/>
          <w:szCs w:val="21"/>
        </w:rPr>
        <w:t>供应商</w:t>
      </w:r>
      <w:r>
        <w:rPr>
          <w:rFonts w:ascii="宋体" w:hAnsi="宋体" w:cs="宋体"/>
          <w:color w:val="000000"/>
          <w:kern w:val="0"/>
          <w:szCs w:val="21"/>
        </w:rPr>
        <w:t xml:space="preserve">或授权代表签字和加盖单位章； </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载明的</w:t>
      </w:r>
      <w:r>
        <w:rPr>
          <w:rFonts w:hint="eastAsia" w:ascii="宋体" w:hAnsi="宋体" w:cs="宋体"/>
          <w:color w:val="000000"/>
          <w:kern w:val="0"/>
          <w:szCs w:val="21"/>
        </w:rPr>
        <w:t>服务</w:t>
      </w:r>
      <w:r>
        <w:rPr>
          <w:rFonts w:ascii="宋体" w:hAnsi="宋体" w:cs="宋体"/>
          <w:color w:val="000000"/>
          <w:kern w:val="0"/>
          <w:szCs w:val="21"/>
        </w:rPr>
        <w:t>项目完成期限超过</w:t>
      </w:r>
      <w:r>
        <w:rPr>
          <w:rFonts w:hint="eastAsia" w:ascii="宋体" w:hAnsi="宋体" w:cs="宋体"/>
          <w:color w:val="000000"/>
          <w:kern w:val="0"/>
          <w:szCs w:val="21"/>
        </w:rPr>
        <w:t>采购文件</w:t>
      </w:r>
      <w:r>
        <w:rPr>
          <w:rFonts w:ascii="宋体" w:hAnsi="宋体" w:cs="宋体"/>
          <w:color w:val="000000"/>
          <w:kern w:val="0"/>
          <w:szCs w:val="21"/>
        </w:rPr>
        <w:t>规定的期限；</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明显不符合技术</w:t>
      </w:r>
      <w:r>
        <w:rPr>
          <w:rFonts w:hint="eastAsia" w:ascii="宋体" w:hAnsi="宋体" w:cs="宋体"/>
          <w:color w:val="000000"/>
          <w:kern w:val="0"/>
          <w:szCs w:val="21"/>
        </w:rPr>
        <w:t>服务</w:t>
      </w:r>
      <w:r>
        <w:rPr>
          <w:rFonts w:ascii="宋体" w:hAnsi="宋体" w:cs="宋体"/>
          <w:color w:val="000000"/>
          <w:kern w:val="0"/>
          <w:szCs w:val="21"/>
        </w:rPr>
        <w:t>、技术标准的要求；</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附有</w:t>
      </w:r>
      <w:r>
        <w:rPr>
          <w:rFonts w:hint="eastAsia" w:ascii="宋体" w:hAnsi="宋体" w:cs="宋体"/>
          <w:color w:val="000000"/>
          <w:kern w:val="0"/>
          <w:szCs w:val="21"/>
        </w:rPr>
        <w:t>供应商</w:t>
      </w:r>
      <w:r>
        <w:rPr>
          <w:rFonts w:ascii="宋体" w:hAnsi="宋体" w:cs="宋体"/>
          <w:color w:val="000000"/>
          <w:kern w:val="0"/>
          <w:szCs w:val="21"/>
        </w:rPr>
        <w:t>不能接受的条件；</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不符合</w:t>
      </w:r>
      <w:r>
        <w:rPr>
          <w:rFonts w:hint="eastAsia" w:ascii="宋体" w:hAnsi="宋体" w:cs="宋体"/>
          <w:color w:val="000000"/>
          <w:kern w:val="0"/>
          <w:szCs w:val="21"/>
        </w:rPr>
        <w:t>采购文件</w:t>
      </w:r>
      <w:r>
        <w:rPr>
          <w:rFonts w:ascii="宋体" w:hAnsi="宋体" w:cs="宋体"/>
          <w:color w:val="000000"/>
          <w:kern w:val="0"/>
          <w:szCs w:val="21"/>
        </w:rPr>
        <w:t>中规定的其他实质性要求。</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.3采购文件</w:t>
      </w:r>
      <w:r>
        <w:rPr>
          <w:rFonts w:ascii="宋体" w:hAnsi="宋体" w:cs="宋体"/>
          <w:color w:val="000000"/>
          <w:kern w:val="0"/>
          <w:szCs w:val="21"/>
        </w:rPr>
        <w:t>中用醒目方式标明的并且说明不满足其中任何一项要求和条件的</w:t>
      </w:r>
      <w:r>
        <w:rPr>
          <w:rFonts w:hint="eastAsia" w:ascii="宋体" w:hAnsi="宋体" w:cs="宋体"/>
          <w:color w:val="000000"/>
          <w:kern w:val="0"/>
          <w:szCs w:val="21"/>
        </w:rPr>
        <w:t>询价</w:t>
      </w:r>
      <w:r>
        <w:rPr>
          <w:rFonts w:ascii="宋体" w:hAnsi="宋体" w:cs="宋体"/>
          <w:color w:val="000000"/>
          <w:kern w:val="0"/>
          <w:szCs w:val="21"/>
        </w:rPr>
        <w:t>将被拒绝，这些要求和条件为实质上响应条款。</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.4</w:t>
      </w:r>
      <w:r>
        <w:rPr>
          <w:rFonts w:ascii="宋体" w:hAnsi="宋体" w:cs="宋体"/>
          <w:color w:val="000000"/>
          <w:kern w:val="0"/>
          <w:szCs w:val="21"/>
        </w:rPr>
        <w:t>评审委员会将对不响应实质性条款存在重大偏差的</w:t>
      </w:r>
      <w:r>
        <w:rPr>
          <w:rFonts w:hint="eastAsia" w:ascii="宋体" w:hAnsi="宋体" w:cs="宋体"/>
          <w:color w:val="000000"/>
          <w:kern w:val="0"/>
          <w:szCs w:val="21"/>
        </w:rPr>
        <w:t>响应文件</w:t>
      </w:r>
      <w:r>
        <w:rPr>
          <w:rFonts w:ascii="宋体" w:hAnsi="宋体" w:cs="宋体"/>
          <w:color w:val="000000"/>
          <w:kern w:val="0"/>
          <w:szCs w:val="21"/>
        </w:rPr>
        <w:t>作废标处理。对于</w:t>
      </w:r>
      <w:r>
        <w:rPr>
          <w:rFonts w:hint="eastAsia" w:ascii="宋体" w:hAnsi="宋体" w:cs="宋体"/>
          <w:color w:val="000000"/>
          <w:kern w:val="0"/>
          <w:szCs w:val="21"/>
        </w:rPr>
        <w:t>响应文件</w:t>
      </w:r>
      <w:r>
        <w:rPr>
          <w:rFonts w:ascii="宋体" w:hAnsi="宋体" w:cs="宋体"/>
          <w:color w:val="000000"/>
          <w:kern w:val="0"/>
          <w:szCs w:val="21"/>
        </w:rPr>
        <w:t>的重大偏差不允许进行澄清或修改。</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.5响应文件</w:t>
      </w:r>
      <w:r>
        <w:rPr>
          <w:rFonts w:ascii="宋体" w:hAnsi="宋体" w:cs="宋体"/>
          <w:color w:val="000000"/>
          <w:kern w:val="0"/>
          <w:szCs w:val="21"/>
        </w:rPr>
        <w:t>若实质上响应</w:t>
      </w:r>
      <w:r>
        <w:rPr>
          <w:rFonts w:hint="eastAsia" w:ascii="宋体" w:hAnsi="宋体" w:cs="宋体"/>
          <w:color w:val="000000"/>
          <w:kern w:val="0"/>
          <w:szCs w:val="21"/>
        </w:rPr>
        <w:t>采购文件</w:t>
      </w:r>
      <w:r>
        <w:rPr>
          <w:rFonts w:ascii="宋体" w:hAnsi="宋体" w:cs="宋体"/>
          <w:color w:val="000000"/>
          <w:kern w:val="0"/>
          <w:szCs w:val="21"/>
        </w:rPr>
        <w:t>的要求，但在其他方面存在细微偏差，评审委员会可要求</w:t>
      </w:r>
      <w:r>
        <w:rPr>
          <w:rFonts w:hint="eastAsia" w:ascii="宋体" w:hAnsi="宋体" w:cs="宋体"/>
          <w:color w:val="000000"/>
          <w:kern w:val="0"/>
          <w:szCs w:val="21"/>
        </w:rPr>
        <w:t>供应商</w:t>
      </w:r>
      <w:r>
        <w:rPr>
          <w:rFonts w:ascii="宋体" w:hAnsi="宋体" w:cs="宋体"/>
          <w:color w:val="000000"/>
          <w:kern w:val="0"/>
          <w:szCs w:val="21"/>
        </w:rPr>
        <w:t>进行书面澄清、补正；如</w:t>
      </w:r>
      <w:r>
        <w:rPr>
          <w:rFonts w:hint="eastAsia" w:ascii="宋体" w:hAnsi="宋体" w:cs="宋体"/>
          <w:color w:val="000000"/>
          <w:kern w:val="0"/>
          <w:szCs w:val="21"/>
        </w:rPr>
        <w:t>供应商</w:t>
      </w:r>
      <w:r>
        <w:rPr>
          <w:rFonts w:ascii="宋体" w:hAnsi="宋体" w:cs="宋体"/>
          <w:color w:val="000000"/>
          <w:kern w:val="0"/>
          <w:szCs w:val="21"/>
        </w:rPr>
        <w:t>拒绝澄清或补正，评审委员会将按照采购文件规定做出不利于该</w:t>
      </w:r>
      <w:r>
        <w:rPr>
          <w:rFonts w:hint="eastAsia" w:ascii="宋体" w:hAnsi="宋体" w:cs="宋体"/>
          <w:color w:val="000000"/>
          <w:kern w:val="0"/>
          <w:szCs w:val="21"/>
        </w:rPr>
        <w:t>供应商</w:t>
      </w:r>
      <w:r>
        <w:rPr>
          <w:rFonts w:ascii="宋体" w:hAnsi="宋体" w:cs="宋体"/>
          <w:color w:val="000000"/>
          <w:kern w:val="0"/>
          <w:szCs w:val="21"/>
        </w:rPr>
        <w:t>的评审。</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lang w:val="en-US" w:eastAsia="zh-CN"/>
        </w:rPr>
      </w:pPr>
      <w:bookmarkStart w:id="10" w:name="_Toc192354827"/>
      <w:bookmarkStart w:id="11" w:name="_Toc193268468"/>
      <w:bookmarkStart w:id="12" w:name="_Toc197247446"/>
      <w:bookmarkStart w:id="13" w:name="_Toc196153696"/>
      <w:bookmarkStart w:id="14" w:name="_Toc196153895"/>
      <w:bookmarkStart w:id="15" w:name="_Toc196153994"/>
      <w:r>
        <w:rPr>
          <w:rFonts w:hint="eastAsia" w:ascii="宋体" w:hAnsi="宋体" w:cs="宋体"/>
          <w:color w:val="000000"/>
          <w:kern w:val="0"/>
          <w:szCs w:val="21"/>
          <w:lang w:val="en-US" w:eastAsia="zh-CN"/>
        </w:rPr>
        <w:t>2 报价计算错误的修正原则</w:t>
      </w:r>
      <w:bookmarkEnd w:id="10"/>
      <w:bookmarkEnd w:id="11"/>
      <w:bookmarkEnd w:id="12"/>
      <w:bookmarkEnd w:id="13"/>
      <w:bookmarkEnd w:id="14"/>
      <w:bookmarkEnd w:id="15"/>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.1</w:t>
      </w:r>
      <w:r>
        <w:rPr>
          <w:rFonts w:ascii="宋体" w:hAnsi="宋体" w:cs="宋体"/>
          <w:color w:val="000000"/>
          <w:kern w:val="0"/>
          <w:szCs w:val="21"/>
        </w:rPr>
        <w:t>评审委员会将对确定为实质上响应</w:t>
      </w:r>
      <w:r>
        <w:rPr>
          <w:rFonts w:hint="eastAsia" w:ascii="宋体" w:hAnsi="宋体" w:cs="宋体"/>
          <w:color w:val="000000"/>
          <w:kern w:val="0"/>
          <w:szCs w:val="21"/>
        </w:rPr>
        <w:t>采购文件</w:t>
      </w:r>
      <w:r>
        <w:rPr>
          <w:rFonts w:ascii="宋体" w:hAnsi="宋体" w:cs="宋体"/>
          <w:color w:val="000000"/>
          <w:kern w:val="0"/>
          <w:szCs w:val="21"/>
        </w:rPr>
        <w:t>要求的</w:t>
      </w:r>
      <w:r>
        <w:rPr>
          <w:rFonts w:hint="eastAsia" w:ascii="宋体" w:hAnsi="宋体" w:cs="宋体"/>
          <w:color w:val="000000"/>
          <w:kern w:val="0"/>
          <w:szCs w:val="21"/>
        </w:rPr>
        <w:t>响应文件</w:t>
      </w:r>
      <w:r>
        <w:rPr>
          <w:rFonts w:ascii="宋体" w:hAnsi="宋体" w:cs="宋体"/>
          <w:color w:val="000000"/>
          <w:kern w:val="0"/>
          <w:szCs w:val="21"/>
        </w:rPr>
        <w:t>进行校核，看其是否有计算上或汇总上的算术错误，修正错误的原则如下：</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响应文件中的大写金额与小写金额不一致的，以大写金额为准；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总价金额与单价金额不一致的，以单价金额为准，但单价金额小数点有明显错误的除外；</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含税价不等于不含税价*（1+税率）的，以不含税价调整含税价。</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rPr>
        <w:t>2.2</w:t>
      </w:r>
      <w:r>
        <w:rPr>
          <w:rFonts w:ascii="宋体" w:hAnsi="宋体" w:cs="宋体"/>
          <w:color w:val="000000"/>
          <w:kern w:val="0"/>
          <w:szCs w:val="21"/>
        </w:rPr>
        <w:t>按上述修改错误的方法，调整</w:t>
      </w:r>
      <w:r>
        <w:rPr>
          <w:rFonts w:hint="eastAsia" w:ascii="宋体" w:hAnsi="宋体" w:cs="宋体"/>
          <w:color w:val="000000"/>
          <w:kern w:val="0"/>
          <w:szCs w:val="21"/>
        </w:rPr>
        <w:t>响应文件</w:t>
      </w:r>
      <w:r>
        <w:rPr>
          <w:rFonts w:ascii="宋体" w:hAnsi="宋体" w:cs="宋体"/>
          <w:color w:val="000000"/>
          <w:kern w:val="0"/>
          <w:szCs w:val="21"/>
        </w:rPr>
        <w:t>中的报价。经</w:t>
      </w:r>
      <w:r>
        <w:rPr>
          <w:rFonts w:hint="eastAsia" w:ascii="宋体" w:hAnsi="宋体" w:cs="宋体"/>
          <w:color w:val="000000"/>
          <w:kern w:val="0"/>
          <w:szCs w:val="21"/>
        </w:rPr>
        <w:t>供应商</w:t>
      </w:r>
      <w:r>
        <w:rPr>
          <w:rFonts w:ascii="宋体" w:hAnsi="宋体" w:cs="宋体"/>
          <w:color w:val="000000"/>
          <w:kern w:val="0"/>
          <w:szCs w:val="21"/>
        </w:rPr>
        <w:t>确认同意后，调整后的报价有效。如果</w:t>
      </w:r>
      <w:r>
        <w:rPr>
          <w:rFonts w:hint="eastAsia" w:ascii="宋体" w:hAnsi="宋体" w:cs="宋体"/>
          <w:color w:val="000000"/>
          <w:kern w:val="0"/>
          <w:szCs w:val="21"/>
        </w:rPr>
        <w:t>供应商</w:t>
      </w:r>
      <w:r>
        <w:rPr>
          <w:rFonts w:ascii="宋体" w:hAnsi="宋体" w:cs="宋体"/>
          <w:color w:val="000000"/>
          <w:kern w:val="0"/>
          <w:szCs w:val="21"/>
        </w:rPr>
        <w:t>不接受修正后的报价则其</w:t>
      </w:r>
      <w:r>
        <w:rPr>
          <w:rFonts w:hint="eastAsia" w:ascii="宋体" w:hAnsi="宋体" w:cs="宋体"/>
          <w:color w:val="000000"/>
          <w:kern w:val="0"/>
          <w:szCs w:val="21"/>
        </w:rPr>
        <w:t>询价</w:t>
      </w:r>
      <w:r>
        <w:rPr>
          <w:rFonts w:ascii="宋体" w:hAnsi="宋体" w:cs="宋体"/>
          <w:color w:val="000000"/>
          <w:kern w:val="0"/>
          <w:szCs w:val="21"/>
        </w:rPr>
        <w:t>将被拒绝。</w:t>
      </w:r>
    </w:p>
    <w:p>
      <w:pPr>
        <w:keepNext w:val="0"/>
        <w:keepLines w:val="0"/>
        <w:pageBreakBefore w:val="0"/>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6" w:name="_Toc196153896"/>
      <w:bookmarkStart w:id="17" w:name="_Toc196153697"/>
      <w:bookmarkStart w:id="18" w:name="_Toc193268469"/>
      <w:bookmarkStart w:id="19" w:name="_Toc197247447"/>
      <w:bookmarkStart w:id="20" w:name="_Toc196153995"/>
      <w:bookmarkStart w:id="21" w:name="_Toc192354828"/>
      <w:r>
        <w:rPr>
          <w:rFonts w:hint="eastAsia" w:ascii="宋体" w:hAnsi="宋体" w:cs="Arial"/>
          <w:b/>
          <w:szCs w:val="21"/>
          <w:highlight w:val="none"/>
          <w:lang w:val="en-US" w:eastAsia="zh-CN"/>
        </w:rPr>
        <w:t>六、响应文件的详细评审</w:t>
      </w:r>
      <w:bookmarkEnd w:id="16"/>
      <w:bookmarkEnd w:id="17"/>
      <w:bookmarkEnd w:id="18"/>
      <w:bookmarkEnd w:id="19"/>
      <w:bookmarkEnd w:id="20"/>
      <w:bookmarkEnd w:id="21"/>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1评审委员会按照规定的评审标准进行评审。</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2应答文件的澄清</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2.3澄清、说明和补正不得改变应答文件的实质性内容（算术性错误修正的除外）。应答人的书面澄清、说明和补正属于应答文件的组成部分。</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2.4评审委员会对应答人递交的澄清、说明或者补正有疑问的，可以要求应答人进一步澄清、说明或者补正，直至满足评审委员会的要求。</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2.5评审委员会必要时可以要求应答人递交有关证明和证件的原件，以便核验。</w:t>
      </w:r>
      <w:bookmarkStart w:id="22" w:name="_Toc474148041"/>
      <w:bookmarkStart w:id="23" w:name="_Toc478565722"/>
      <w:bookmarkStart w:id="24" w:name="_Toc478566277"/>
      <w:bookmarkStart w:id="25" w:name="_Toc478566085"/>
      <w:bookmarkStart w:id="26" w:name="_Toc478566443"/>
    </w:p>
    <w:p>
      <w:pPr>
        <w:widowControl/>
        <w:numPr>
          <w:ilvl w:val="0"/>
          <w:numId w:val="0"/>
        </w:numPr>
        <w:spacing w:line="380" w:lineRule="exact"/>
        <w:ind w:leftChars="0"/>
        <w:jc w:val="left"/>
        <w:rPr>
          <w:rFonts w:ascii="宋体" w:hAnsi="宋体"/>
          <w:b/>
          <w:color w:val="000000"/>
          <w:szCs w:val="21"/>
        </w:rPr>
      </w:pPr>
      <w:r>
        <w:rPr>
          <w:rFonts w:hint="eastAsia" w:ascii="宋体" w:hAnsi="宋体"/>
          <w:b/>
          <w:color w:val="000000"/>
          <w:szCs w:val="21"/>
          <w:lang w:val="en-US" w:eastAsia="zh-CN"/>
        </w:rPr>
        <w:t>七、</w:t>
      </w:r>
      <w:r>
        <w:rPr>
          <w:rFonts w:hint="eastAsia" w:ascii="宋体" w:hAnsi="宋体"/>
          <w:b/>
          <w:color w:val="000000"/>
          <w:szCs w:val="21"/>
        </w:rPr>
        <w:t>中选候选人推荐原则</w:t>
      </w:r>
      <w:bookmarkEnd w:id="22"/>
      <w:bookmarkEnd w:id="23"/>
      <w:bookmarkEnd w:id="24"/>
      <w:bookmarkEnd w:id="25"/>
      <w:bookmarkEnd w:id="26"/>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Times New Roman"/>
        </w:rPr>
      </w:pPr>
      <w:r>
        <w:rPr>
          <w:rFonts w:hint="eastAsia" w:ascii="宋体" w:hAnsi="宋体" w:cs="Times New Roman"/>
        </w:rPr>
        <w:t>1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pacing w:line="420" w:lineRule="exact"/>
        <w:ind w:firstLine="420" w:firstLineChars="200"/>
        <w:rPr>
          <w:rFonts w:ascii="宋体" w:hAnsi="宋体"/>
          <w:highlight w:val="lightGray"/>
        </w:rPr>
      </w:pPr>
      <w:r>
        <w:rPr>
          <w:rFonts w:hint="eastAsia" w:ascii="宋体" w:hAnsi="宋体"/>
          <w:lang w:val="en-US" w:eastAsia="zh-CN"/>
        </w:rPr>
        <w:t>2</w:t>
      </w:r>
      <w:r>
        <w:rPr>
          <w:rFonts w:hint="eastAsia" w:ascii="宋体" w:hAnsi="宋体"/>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3"/>
        <w:jc w:val="center"/>
        <w:rPr>
          <w:b w:val="0"/>
          <w:sz w:val="32"/>
          <w:szCs w:val="32"/>
          <w:highlight w:val="none"/>
        </w:rPr>
      </w:pPr>
      <w:r>
        <w:rPr>
          <w:b w:val="0"/>
          <w:sz w:val="32"/>
          <w:szCs w:val="32"/>
          <w:highlight w:val="yellow"/>
        </w:rPr>
        <w:br w:type="page"/>
      </w:r>
      <w:bookmarkStart w:id="27" w:name="_Toc29200"/>
      <w:bookmarkStart w:id="28" w:name="_Toc8550"/>
      <w:bookmarkStart w:id="29" w:name="_Toc18280"/>
      <w:r>
        <w:rPr>
          <w:rFonts w:hint="eastAsia"/>
          <w:b w:val="0"/>
          <w:sz w:val="32"/>
          <w:szCs w:val="32"/>
          <w:highlight w:val="none"/>
        </w:rPr>
        <w:t>第四章 合同条款</w:t>
      </w:r>
      <w:bookmarkEnd w:id="27"/>
      <w:bookmarkEnd w:id="28"/>
      <w:bookmarkEnd w:id="29"/>
    </w:p>
    <w:p>
      <w:pPr>
        <w:bidi w:val="0"/>
        <w:rPr>
          <w:sz w:val="30"/>
          <w:szCs w:val="30"/>
          <w:highlight w:val="none"/>
        </w:rPr>
      </w:pPr>
      <w:bookmarkStart w:id="30" w:name="_Toc297029996"/>
      <w:bookmarkStart w:id="31" w:name="_Toc385249521"/>
      <w:r>
        <w:rPr>
          <w:rFonts w:hint="eastAsia"/>
          <w:sz w:val="30"/>
          <w:szCs w:val="30"/>
          <w:highlight w:val="none"/>
        </w:rPr>
        <w:t>一、合同条款</w:t>
      </w:r>
      <w:bookmarkEnd w:id="30"/>
      <w:bookmarkEnd w:id="31"/>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2" w:name="_Toc255998571"/>
      <w:bookmarkStart w:id="33" w:name="_Toc255998790"/>
      <w:bookmarkStart w:id="34" w:name="_Toc251766101"/>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15"/>
        <w:rPr>
          <w:rFonts w:hint="eastAsia"/>
        </w:rPr>
      </w:pPr>
    </w:p>
    <w:bookmarkEnd w:id="32"/>
    <w:bookmarkEnd w:id="33"/>
    <w:bookmarkEnd w:id="34"/>
    <w:p>
      <w:pPr>
        <w:bidi w:val="0"/>
        <w:rPr>
          <w:rFonts w:ascii="宋体" w:hAnsi="宋体"/>
          <w:b/>
          <w:szCs w:val="30"/>
          <w:highlight w:val="none"/>
        </w:rPr>
      </w:pPr>
      <w:bookmarkStart w:id="35" w:name="_Toc385249522"/>
      <w:bookmarkStart w:id="36"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5"/>
    <w:bookmarkEnd w:id="36"/>
    <w:p>
      <w:pPr>
        <w:rPr>
          <w:highlight w:val="none"/>
        </w:rPr>
      </w:pPr>
      <w:bookmarkStart w:id="37" w:name="_Toc44772671"/>
      <w:bookmarkStart w:id="38" w:name="_Toc41907934"/>
      <w:bookmarkStart w:id="39" w:name="_Toc44484953"/>
      <w:bookmarkStart w:id="40" w:name="_Toc44483545"/>
      <w:bookmarkStart w:id="41" w:name="_Toc43880863"/>
    </w:p>
    <w:bookmarkEnd w:id="37"/>
    <w:bookmarkEnd w:id="38"/>
    <w:bookmarkEnd w:id="39"/>
    <w:bookmarkEnd w:id="40"/>
    <w:bookmarkEnd w:id="41"/>
    <w:p>
      <w:pPr>
        <w:spacing w:line="360" w:lineRule="auto"/>
        <w:rPr>
          <w:rFonts w:ascii="仿宋" w:hAnsi="仿宋" w:eastAsia="仿宋"/>
          <w:b/>
          <w:sz w:val="72"/>
          <w:szCs w:val="72"/>
          <w:highlight w:val="none"/>
        </w:rPr>
      </w:pPr>
    </w:p>
    <w:p>
      <w:pPr>
        <w:spacing w:line="360" w:lineRule="auto"/>
        <w:jc w:val="center"/>
        <w:rPr>
          <w:rFonts w:ascii="仿宋" w:hAnsi="仿宋" w:eastAsia="仿宋"/>
          <w:b/>
          <w:sz w:val="56"/>
          <w:szCs w:val="72"/>
          <w:highlight w:val="none"/>
        </w:rPr>
      </w:pPr>
      <w:bookmarkStart w:id="42" w:name="_Hlk532851860"/>
    </w:p>
    <w:p>
      <w:pPr>
        <w:spacing w:line="360" w:lineRule="auto"/>
        <w:jc w:val="center"/>
        <w:rPr>
          <w:rFonts w:ascii="仿宋" w:hAnsi="仿宋" w:eastAsia="仿宋"/>
          <w:b/>
          <w:sz w:val="56"/>
          <w:szCs w:val="72"/>
          <w:highlight w:val="none"/>
        </w:rPr>
      </w:pPr>
    </w:p>
    <w:p>
      <w:pPr>
        <w:spacing w:line="360" w:lineRule="auto"/>
        <w:jc w:val="center"/>
        <w:rPr>
          <w:rFonts w:hint="default" w:ascii="仿宋" w:hAnsi="仿宋" w:eastAsia="仿宋"/>
          <w:b/>
          <w:kern w:val="2"/>
          <w:sz w:val="56"/>
          <w:szCs w:val="72"/>
          <w:highlight w:val="none"/>
          <w:lang w:val="en-US" w:eastAsia="zh-CN" w:bidi="ar-SA"/>
        </w:rPr>
      </w:pPr>
      <w:r>
        <w:rPr>
          <w:rFonts w:hint="default" w:ascii="仿宋" w:hAnsi="仿宋" w:eastAsia="仿宋"/>
          <w:b/>
          <w:kern w:val="2"/>
          <w:sz w:val="56"/>
          <w:szCs w:val="72"/>
          <w:highlight w:val="none"/>
          <w:lang w:val="en-US" w:eastAsia="zh-CN" w:bidi="ar-SA"/>
        </w:rPr>
        <w:t>数字江门网络建设有限公司</w:t>
      </w:r>
    </w:p>
    <w:p>
      <w:pPr>
        <w:spacing w:line="360" w:lineRule="auto"/>
        <w:jc w:val="center"/>
        <w:rPr>
          <w:rFonts w:ascii="仿宋" w:hAnsi="仿宋" w:eastAsia="仿宋"/>
          <w:b/>
          <w:sz w:val="56"/>
          <w:szCs w:val="72"/>
          <w:highlight w:val="none"/>
        </w:rPr>
      </w:pPr>
      <w:r>
        <w:rPr>
          <w:rFonts w:hint="default" w:ascii="仿宋" w:hAnsi="仿宋" w:eastAsia="仿宋"/>
          <w:b/>
          <w:kern w:val="2"/>
          <w:sz w:val="56"/>
          <w:szCs w:val="72"/>
          <w:highlight w:val="none"/>
          <w:lang w:val="en-US" w:eastAsia="zh-CN" w:bidi="ar-SA"/>
        </w:rPr>
        <w:t>信息技术应用创新项目运维服务</w:t>
      </w:r>
    </w:p>
    <w:p>
      <w:pPr>
        <w:spacing w:line="360" w:lineRule="auto"/>
        <w:jc w:val="center"/>
        <w:rPr>
          <w:rFonts w:hint="eastAsia" w:ascii="仿宋" w:hAnsi="仿宋" w:eastAsia="仿宋"/>
          <w:b/>
          <w:sz w:val="56"/>
          <w:szCs w:val="72"/>
          <w:highlight w:val="none"/>
        </w:rPr>
      </w:pPr>
    </w:p>
    <w:p>
      <w:pPr>
        <w:spacing w:line="360" w:lineRule="auto"/>
        <w:jc w:val="center"/>
        <w:rPr>
          <w:highlight w:val="none"/>
        </w:rPr>
      </w:pPr>
      <w:r>
        <w:rPr>
          <w:rFonts w:hint="eastAsia" w:ascii="仿宋" w:hAnsi="仿宋" w:eastAsia="仿宋"/>
          <w:b/>
          <w:sz w:val="56"/>
          <w:szCs w:val="72"/>
          <w:highlight w:val="none"/>
        </w:rPr>
        <w:t>采购合同</w:t>
      </w:r>
      <w:bookmarkEnd w:id="42"/>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pgSz w:w="11906" w:h="16838"/>
          <w:pgMar w:top="1610" w:right="1474" w:bottom="1304" w:left="1474" w:header="851" w:footer="684" w:gutter="0"/>
          <w:pgNumType w:fmt="decimal"/>
          <w:cols w:space="720" w:num="1"/>
          <w:titlePg/>
          <w:docGrid w:type="lines" w:linePitch="312" w:charSpace="0"/>
        </w:sectPr>
      </w:pPr>
    </w:p>
    <w:p>
      <w:pPr>
        <w:spacing w:line="360" w:lineRule="auto"/>
        <w:ind w:left="0" w:leftChars="0" w:firstLine="482" w:firstLineChars="200"/>
        <w:jc w:val="left"/>
        <w:rPr>
          <w:rFonts w:hint="eastAsia" w:ascii="宋体" w:hAnsi="宋体"/>
          <w:b/>
          <w:sz w:val="24"/>
          <w:szCs w:val="24"/>
        </w:rPr>
      </w:pPr>
      <w:r>
        <w:rPr>
          <w:rFonts w:hint="eastAsia" w:ascii="宋体" w:hAnsi="宋体"/>
          <w:b/>
          <w:sz w:val="24"/>
          <w:szCs w:val="24"/>
          <w:lang w:val="en-US" w:eastAsia="zh-CN"/>
        </w:rPr>
        <w:t>甲</w:t>
      </w:r>
      <w:r>
        <w:rPr>
          <w:rFonts w:hint="eastAsia" w:ascii="宋体" w:hAnsi="宋体"/>
          <w:b/>
          <w:sz w:val="24"/>
          <w:szCs w:val="24"/>
        </w:rPr>
        <w:t>方：</w:t>
      </w:r>
      <w:r>
        <w:rPr>
          <w:rFonts w:hint="eastAsia" w:ascii="宋体" w:hAnsi="宋体"/>
          <w:b/>
          <w:sz w:val="24"/>
          <w:szCs w:val="24"/>
          <w:lang w:val="en-US" w:eastAsia="zh-CN"/>
        </w:rPr>
        <w:t>数字江门网络建设有限公司</w:t>
      </w:r>
    </w:p>
    <w:p>
      <w:pPr>
        <w:spacing w:line="360" w:lineRule="auto"/>
        <w:ind w:left="0" w:leftChars="0" w:firstLine="482" w:firstLineChars="200"/>
        <w:jc w:val="left"/>
        <w:rPr>
          <w:rFonts w:hint="default" w:ascii="宋体" w:hAnsi="宋体" w:eastAsia="宋体"/>
          <w:b/>
          <w:sz w:val="24"/>
          <w:szCs w:val="24"/>
          <w:lang w:val="en-US" w:eastAsia="zh-CN"/>
        </w:rPr>
      </w:pPr>
      <w:r>
        <w:rPr>
          <w:rFonts w:hint="eastAsia" w:ascii="宋体" w:hAnsi="宋体"/>
          <w:b/>
          <w:sz w:val="24"/>
          <w:szCs w:val="24"/>
          <w:lang w:val="en-US" w:eastAsia="zh-CN"/>
        </w:rPr>
        <w:t>乙</w:t>
      </w:r>
      <w:r>
        <w:rPr>
          <w:rFonts w:hint="eastAsia" w:ascii="宋体" w:hAnsi="宋体"/>
          <w:b/>
          <w:sz w:val="24"/>
          <w:szCs w:val="24"/>
        </w:rPr>
        <w:t>方：</w:t>
      </w:r>
      <w:r>
        <w:rPr>
          <w:rFonts w:hint="eastAsia" w:ascii="宋体" w:hAnsi="宋体"/>
          <w:b/>
          <w:sz w:val="24"/>
          <w:szCs w:val="24"/>
          <w:u w:val="single"/>
          <w:lang w:val="en-US" w:eastAsia="zh-CN"/>
        </w:rPr>
        <w:t xml:space="preserve">                        </w:t>
      </w:r>
    </w:p>
    <w:p>
      <w:pPr>
        <w:pStyle w:val="2"/>
        <w:rPr>
          <w:rFonts w:hint="eastAsia"/>
        </w:rPr>
      </w:pPr>
    </w:p>
    <w:p>
      <w:pPr>
        <w:pStyle w:val="6"/>
        <w:pageBreakBefore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甲乙双方根据《中华人民共和国民法典》等有关法律法规的规定，按照X年X月X日X（</w:t>
      </w:r>
      <w:r>
        <w:rPr>
          <w:rFonts w:hint="eastAsia" w:ascii="宋体" w:hAnsi="宋体" w:eastAsia="宋体" w:cs="宋体"/>
          <w:sz w:val="21"/>
          <w:szCs w:val="21"/>
          <w:lang w:val="en-US" w:eastAsia="zh-CN"/>
        </w:rPr>
        <w:t>项目</w:t>
      </w:r>
      <w:r>
        <w:rPr>
          <w:rFonts w:hint="eastAsia" w:ascii="宋体" w:hAnsi="宋体" w:eastAsia="宋体" w:cs="宋体"/>
          <w:sz w:val="21"/>
          <w:szCs w:val="21"/>
        </w:rPr>
        <w:t>编号：X）的</w:t>
      </w:r>
      <w:r>
        <w:rPr>
          <w:rFonts w:hint="eastAsia" w:ascii="宋体" w:hAnsi="宋体" w:eastAsia="宋体" w:cs="宋体"/>
          <w:sz w:val="21"/>
          <w:szCs w:val="21"/>
          <w:lang w:eastAsia="zh-CN"/>
        </w:rPr>
        <w:t>采购</w:t>
      </w:r>
      <w:r>
        <w:rPr>
          <w:rFonts w:hint="eastAsia" w:ascii="宋体" w:hAnsi="宋体" w:eastAsia="宋体" w:cs="宋体"/>
          <w:sz w:val="21"/>
          <w:szCs w:val="21"/>
        </w:rPr>
        <w:t>结果、</w:t>
      </w:r>
      <w:r>
        <w:rPr>
          <w:rFonts w:hint="eastAsia" w:ascii="宋体" w:hAnsi="宋体" w:eastAsia="宋体" w:cs="宋体"/>
          <w:sz w:val="21"/>
          <w:szCs w:val="21"/>
          <w:lang w:eastAsia="zh-CN"/>
        </w:rPr>
        <w:t>采购</w:t>
      </w:r>
      <w:r>
        <w:rPr>
          <w:rFonts w:hint="eastAsia" w:ascii="宋体" w:hAnsi="宋体" w:eastAsia="宋体" w:cs="宋体"/>
          <w:sz w:val="21"/>
          <w:szCs w:val="21"/>
        </w:rPr>
        <w:t>文件、乙方的</w:t>
      </w:r>
      <w:r>
        <w:rPr>
          <w:rFonts w:hint="eastAsia" w:ascii="宋体" w:hAnsi="宋体" w:eastAsia="宋体" w:cs="宋体"/>
          <w:sz w:val="21"/>
          <w:szCs w:val="21"/>
          <w:lang w:eastAsia="zh-CN"/>
        </w:rPr>
        <w:t>响应</w:t>
      </w:r>
      <w:r>
        <w:rPr>
          <w:rFonts w:hint="eastAsia" w:ascii="宋体" w:hAnsi="宋体" w:eastAsia="宋体" w:cs="宋体"/>
          <w:sz w:val="21"/>
          <w:szCs w:val="21"/>
        </w:rPr>
        <w:t>文件及澄清、说明或者补正文件和</w:t>
      </w:r>
      <w:r>
        <w:rPr>
          <w:rFonts w:hint="eastAsia" w:ascii="宋体" w:hAnsi="宋体" w:eastAsia="宋体" w:cs="宋体"/>
          <w:sz w:val="21"/>
          <w:szCs w:val="21"/>
          <w:lang w:val="en-US" w:eastAsia="zh-CN"/>
        </w:rPr>
        <w:t>成交</w:t>
      </w:r>
      <w:r>
        <w:rPr>
          <w:rFonts w:hint="eastAsia" w:ascii="宋体" w:hAnsi="宋体" w:eastAsia="宋体" w:cs="宋体"/>
          <w:sz w:val="21"/>
          <w:szCs w:val="21"/>
        </w:rPr>
        <w:t>通知书的要求，经双方协商一致，订立合同如下：</w:t>
      </w:r>
    </w:p>
    <w:p>
      <w:pPr>
        <w:pStyle w:val="3"/>
        <w:keepNext/>
        <w:keepLines/>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43" w:name="_Toc183580906"/>
      <w:bookmarkStart w:id="44" w:name="_Toc93134294"/>
      <w:r>
        <w:rPr>
          <w:rFonts w:hint="eastAsia" w:ascii="宋体" w:hAnsi="宋体" w:eastAsia="宋体" w:cs="宋体"/>
          <w:sz w:val="21"/>
          <w:szCs w:val="21"/>
          <w:lang w:val="en-US" w:eastAsia="zh-CN"/>
        </w:rPr>
        <w:t xml:space="preserve">第一条  </w:t>
      </w:r>
      <w:r>
        <w:rPr>
          <w:rFonts w:hint="eastAsia" w:ascii="宋体" w:hAnsi="宋体" w:eastAsia="宋体" w:cs="宋体"/>
          <w:sz w:val="21"/>
          <w:szCs w:val="21"/>
        </w:rPr>
        <w:t>合同标的</w:t>
      </w:r>
      <w:bookmarkEnd w:id="43"/>
    </w:p>
    <w:p>
      <w:pPr>
        <w:pageBreakBefore w:val="0"/>
        <w:numPr>
          <w:ilvl w:val="0"/>
          <w:numId w:val="4"/>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项目名称：数字江门网络建设有限公司信息技术应用创新项目运维服务。</w:t>
      </w:r>
    </w:p>
    <w:p>
      <w:pPr>
        <w:pageBreakBefore w:val="0"/>
        <w:numPr>
          <w:ilvl w:val="0"/>
          <w:numId w:val="4"/>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项目运维期：自合同签订生效之日起一年（365个日历日）。</w:t>
      </w:r>
    </w:p>
    <w:p>
      <w:pPr>
        <w:pageBreakBefore w:val="0"/>
        <w:numPr>
          <w:ilvl w:val="0"/>
          <w:numId w:val="4"/>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甲方同意委托，乙方同意受托为机房设备及系统提供技术支持运维服务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详见，附件1：项目运维服务设备清单</w:t>
      </w:r>
      <w:r>
        <w:rPr>
          <w:rFonts w:hint="eastAsia" w:ascii="宋体" w:hAnsi="宋体" w:eastAsia="宋体" w:cs="宋体"/>
          <w:sz w:val="21"/>
          <w:szCs w:val="21"/>
          <w:lang w:eastAsia="zh-CN"/>
        </w:rPr>
        <w:t>）</w:t>
      </w:r>
      <w:r>
        <w:rPr>
          <w:rFonts w:hint="eastAsia" w:ascii="宋体" w:hAnsi="宋体" w:eastAsia="宋体" w:cs="宋体"/>
          <w:sz w:val="21"/>
          <w:szCs w:val="21"/>
        </w:rPr>
        <w:t>同时根据项目的维护要求提供7×24小时现场技术支持和远程技术支持，并对机房资产和网络进行记录与保护。</w:t>
      </w:r>
    </w:p>
    <w:p>
      <w:pPr>
        <w:pageBreakBefore w:val="0"/>
        <w:numPr>
          <w:ilvl w:val="0"/>
          <w:numId w:val="4"/>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乙方提供的</w:t>
      </w:r>
      <w:r>
        <w:rPr>
          <w:rFonts w:hint="eastAsia" w:ascii="宋体" w:hAnsi="宋体" w:eastAsia="宋体" w:cs="宋体"/>
          <w:sz w:val="21"/>
          <w:szCs w:val="21"/>
        </w:rPr>
        <w:t>运维服务</w:t>
      </w:r>
      <w:r>
        <w:rPr>
          <w:rFonts w:hint="eastAsia" w:ascii="宋体" w:hAnsi="宋体" w:eastAsia="宋体" w:cs="宋体"/>
          <w:sz w:val="21"/>
          <w:szCs w:val="21"/>
          <w:lang w:val="en-US" w:eastAsia="zh-CN"/>
        </w:rPr>
        <w:t>内容如下</w:t>
      </w:r>
      <w:r>
        <w:rPr>
          <w:rFonts w:hint="eastAsia" w:ascii="宋体" w:hAnsi="宋体" w:eastAsia="宋体" w:cs="宋体"/>
          <w:sz w:val="21"/>
          <w:szCs w:val="21"/>
          <w:lang w:eastAsia="zh-CN"/>
        </w:rPr>
        <w:t>：</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电话技术支持</w:t>
      </w:r>
    </w:p>
    <w:p>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提供7*24小时不间断的电话支持服务。在维护协议有效期限内，电话支持服务为每周7天，每天24小时。</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周期性现场服务</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软件安装服务</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软件升级的规划和实施</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系统的重新规划</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现场问题的诊断及分析</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实施问题的解决方案</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现场培训实施</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系统性能诊断和性能调整</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IT基础设备系统咨询服务</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硬件系统运维支持服务</w:t>
      </w:r>
    </w:p>
    <w:p>
      <w:pPr>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服务期内，对以上服务范围内的设备系统提供风险式维护服务，包括设备预防性检查维护（健康巡检）、硬件系统故障诊断、备件系统安装、以及相关的技术咨询服务，并针对维护的项目准备维护服务的实施方案和制度，以保证客户的硬件系统安全、可靠的运行。</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系统巡检服务</w:t>
      </w:r>
    </w:p>
    <w:p>
      <w:pPr>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定期实施系统健康检查。并提交相应的IT系统健康检查报告，巡检报告将评估该IT系统的可用性及性能现状，并就发现的问题或隐患提出建议的解决方案。</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培训服务</w:t>
      </w:r>
    </w:p>
    <w:p>
      <w:pPr>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在周期性驻现场服务中，技术专家进行技术交流培训，培训内容为机房内软、硬件产品相关的产品技术内容。</w:t>
      </w:r>
    </w:p>
    <w:p>
      <w:pPr>
        <w:keepNext w:val="0"/>
        <w:keepLines w:val="0"/>
        <w:pageBreakBefore w:val="0"/>
        <w:numPr>
          <w:ilvl w:val="0"/>
          <w:numId w:val="5"/>
        </w:numP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文档管理服务</w:t>
      </w:r>
    </w:p>
    <w:p>
      <w:pPr>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提供设备系统的维护文档、软件光盘等技术资料。在发生系统参数配置变更、性能改进以及该设备系统出现新技术动态时，应提供相关文档。</w:t>
      </w:r>
    </w:p>
    <w:p>
      <w:pPr>
        <w:keepNext w:val="0"/>
        <w:keepLines w:val="0"/>
        <w:pageBreakBefore w:val="0"/>
        <w:widowControl/>
        <w:numPr>
          <w:ilvl w:val="0"/>
          <w:numId w:val="7"/>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提供《维护手册》、《运维服务记录表》、《运维服务报告》等</w:t>
      </w:r>
      <w:r>
        <w:rPr>
          <w:rFonts w:hint="eastAsia" w:ascii="宋体" w:hAnsi="宋体" w:eastAsia="宋体" w:cs="宋体"/>
          <w:color w:val="auto"/>
          <w:sz w:val="21"/>
          <w:szCs w:val="21"/>
          <w:lang w:eastAsia="zh-CN"/>
        </w:rPr>
        <w:t>；</w:t>
      </w:r>
    </w:p>
    <w:tbl>
      <w:tblPr>
        <w:tblStyle w:val="18"/>
        <w:tblW w:w="0" w:type="auto"/>
        <w:tblInd w:w="0" w:type="dxa"/>
        <w:tblLayout w:type="autofit"/>
        <w:tblCellMar>
          <w:top w:w="0" w:type="dxa"/>
          <w:left w:w="108" w:type="dxa"/>
          <w:bottom w:w="0" w:type="dxa"/>
          <w:right w:w="108" w:type="dxa"/>
        </w:tblCellMar>
      </w:tblPr>
      <w:tblGrid>
        <w:gridCol w:w="460"/>
        <w:gridCol w:w="1317"/>
        <w:gridCol w:w="3804"/>
        <w:gridCol w:w="1620"/>
        <w:gridCol w:w="1973"/>
      </w:tblGrid>
      <w:tr>
        <w:tblPrEx>
          <w:tblCellMar>
            <w:top w:w="0" w:type="dxa"/>
            <w:left w:w="108" w:type="dxa"/>
            <w:bottom w:w="0" w:type="dxa"/>
            <w:right w:w="108" w:type="dxa"/>
          </w:tblCellMar>
        </w:tblPrEx>
        <w:trPr>
          <w:trHeight w:val="312"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317" w:type="dxa"/>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服务项</w:t>
            </w:r>
          </w:p>
        </w:tc>
        <w:tc>
          <w:tcPr>
            <w:tcW w:w="3804" w:type="dxa"/>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服务内容描述</w:t>
            </w: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服务标准</w:t>
            </w: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服务质量目标</w:t>
            </w:r>
          </w:p>
        </w:tc>
      </w:tr>
      <w:tr>
        <w:tblPrEx>
          <w:tblCellMar>
            <w:top w:w="0" w:type="dxa"/>
            <w:left w:w="108" w:type="dxa"/>
            <w:bottom w:w="0" w:type="dxa"/>
            <w:right w:w="108" w:type="dxa"/>
          </w:tblCellMar>
        </w:tblPrEx>
        <w:trPr>
          <w:trHeight w:val="31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1317" w:type="dxa"/>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3804" w:type="dxa"/>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r>
      <w:tr>
        <w:tblPrEx>
          <w:tblCellMar>
            <w:top w:w="0" w:type="dxa"/>
            <w:left w:w="108" w:type="dxa"/>
            <w:bottom w:w="0" w:type="dxa"/>
            <w:right w:w="108" w:type="dxa"/>
          </w:tblCellMar>
        </w:tblPrEx>
        <w:trPr>
          <w:trHeight w:val="24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0" w:type="auto"/>
            <w:gridSpan w:val="4"/>
            <w:tcBorders>
              <w:top w:val="single" w:color="auto" w:sz="4" w:space="0"/>
              <w:left w:val="nil"/>
              <w:bottom w:val="single" w:color="auto" w:sz="4" w:space="0"/>
              <w:right w:val="single" w:color="000000"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运维服务</w:t>
            </w:r>
          </w:p>
        </w:tc>
      </w:tr>
      <w:tr>
        <w:tblPrEx>
          <w:tblCellMar>
            <w:top w:w="0" w:type="dxa"/>
            <w:left w:w="108" w:type="dxa"/>
            <w:bottom w:w="0" w:type="dxa"/>
            <w:right w:w="108" w:type="dxa"/>
          </w:tblCellMar>
        </w:tblPrEx>
        <w:trPr>
          <w:trHeight w:val="1215"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日常维护</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1、电话及远程技术支持服务；</w:t>
            </w:r>
            <w:r>
              <w:rPr>
                <w:rFonts w:hint="eastAsia" w:ascii="宋体" w:hAnsi="宋体" w:eastAsia="宋体" w:cs="宋体"/>
                <w:color w:val="auto"/>
                <w:sz w:val="21"/>
                <w:szCs w:val="21"/>
              </w:rPr>
              <w:cr/>
            </w:r>
            <w:r>
              <w:rPr>
                <w:rFonts w:hint="eastAsia" w:ascii="宋体" w:hAnsi="宋体" w:eastAsia="宋体" w:cs="宋体"/>
                <w:color w:val="auto"/>
                <w:sz w:val="21"/>
                <w:szCs w:val="21"/>
              </w:rPr>
              <w:t>2、现场/驻场技术支持服务；</w:t>
            </w:r>
            <w:r>
              <w:rPr>
                <w:rFonts w:hint="eastAsia" w:ascii="宋体" w:hAnsi="宋体" w:eastAsia="宋体" w:cs="宋体"/>
                <w:color w:val="auto"/>
                <w:sz w:val="21"/>
                <w:szCs w:val="21"/>
              </w:rPr>
              <w:cr/>
            </w:r>
            <w:r>
              <w:rPr>
                <w:rFonts w:hint="eastAsia" w:ascii="宋体" w:hAnsi="宋体" w:eastAsia="宋体" w:cs="宋体"/>
                <w:color w:val="auto"/>
                <w:sz w:val="21"/>
                <w:szCs w:val="21"/>
              </w:rPr>
              <w:t>3、设备系统运行状态及性能监测；</w:t>
            </w:r>
            <w:r>
              <w:rPr>
                <w:rFonts w:hint="eastAsia" w:ascii="宋体" w:hAnsi="宋体" w:eastAsia="宋体" w:cs="宋体"/>
                <w:color w:val="auto"/>
                <w:sz w:val="21"/>
                <w:szCs w:val="21"/>
              </w:rPr>
              <w:cr/>
            </w:r>
            <w:r>
              <w:rPr>
                <w:rFonts w:hint="eastAsia" w:ascii="宋体" w:hAnsi="宋体" w:eastAsia="宋体" w:cs="宋体"/>
                <w:color w:val="auto"/>
                <w:sz w:val="21"/>
                <w:szCs w:val="21"/>
              </w:rPr>
              <w:t>4、硬件设备系统保养服务；</w:t>
            </w:r>
            <w:r>
              <w:rPr>
                <w:rFonts w:hint="eastAsia" w:ascii="宋体" w:hAnsi="宋体" w:eastAsia="宋体" w:cs="宋体"/>
                <w:color w:val="auto"/>
                <w:sz w:val="21"/>
                <w:szCs w:val="21"/>
              </w:rPr>
              <w:cr/>
            </w:r>
            <w:r>
              <w:rPr>
                <w:rFonts w:hint="eastAsia" w:ascii="宋体" w:hAnsi="宋体" w:eastAsia="宋体" w:cs="宋体"/>
                <w:color w:val="auto"/>
                <w:sz w:val="21"/>
                <w:szCs w:val="21"/>
              </w:rPr>
              <w:t>5、设备配置备份与恢复服务。</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技术支持电话7×24响应不小于</w:t>
            </w:r>
            <w:r>
              <w:rPr>
                <w:rFonts w:hint="eastAsia" w:ascii="宋体" w:hAnsi="宋体" w:eastAsia="宋体" w:cs="宋体"/>
                <w:color w:val="auto"/>
                <w:sz w:val="21"/>
                <w:szCs w:val="21"/>
              </w:rPr>
              <w:cr/>
            </w:r>
            <w:r>
              <w:rPr>
                <w:rFonts w:hint="eastAsia" w:ascii="宋体" w:hAnsi="宋体" w:eastAsia="宋体" w:cs="宋体"/>
                <w:color w:val="auto"/>
                <w:sz w:val="21"/>
                <w:szCs w:val="21"/>
              </w:rPr>
              <w:t>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系统月最大中断时间≤86分钟</w:t>
            </w:r>
            <w:r>
              <w:rPr>
                <w:rFonts w:hint="eastAsia" w:ascii="宋体" w:hAnsi="宋体" w:eastAsia="宋体" w:cs="宋体"/>
                <w:color w:val="auto"/>
                <w:sz w:val="21"/>
                <w:szCs w:val="21"/>
              </w:rPr>
              <w:cr/>
            </w:r>
            <w:r>
              <w:rPr>
                <w:rFonts w:hint="eastAsia" w:ascii="宋体" w:hAnsi="宋体" w:eastAsia="宋体" w:cs="宋体"/>
                <w:color w:val="auto"/>
                <w:sz w:val="21"/>
                <w:szCs w:val="21"/>
              </w:rPr>
              <w:t>服务请求响应及时率≥98%</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定期巡检</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1、定期对设备系统运行状况进行巡检；</w:t>
            </w:r>
            <w:r>
              <w:rPr>
                <w:rFonts w:hint="eastAsia" w:ascii="宋体" w:hAnsi="宋体" w:eastAsia="宋体" w:cs="宋体"/>
                <w:color w:val="auto"/>
                <w:sz w:val="21"/>
                <w:szCs w:val="21"/>
              </w:rPr>
              <w:cr/>
            </w:r>
            <w:r>
              <w:rPr>
                <w:rFonts w:hint="eastAsia" w:ascii="宋体" w:hAnsi="宋体" w:eastAsia="宋体" w:cs="宋体"/>
                <w:color w:val="auto"/>
                <w:sz w:val="21"/>
                <w:szCs w:val="21"/>
              </w:rPr>
              <w:t>2、完善设备系统巡检流程及巡检手册；</w:t>
            </w:r>
            <w:r>
              <w:rPr>
                <w:rFonts w:hint="eastAsia" w:ascii="宋体" w:hAnsi="宋体" w:eastAsia="宋体" w:cs="宋体"/>
                <w:color w:val="auto"/>
                <w:sz w:val="21"/>
                <w:szCs w:val="21"/>
              </w:rPr>
              <w:cr/>
            </w:r>
            <w:r>
              <w:rPr>
                <w:rFonts w:hint="eastAsia" w:ascii="宋体" w:hAnsi="宋体" w:eastAsia="宋体" w:cs="宋体"/>
                <w:color w:val="auto"/>
                <w:sz w:val="21"/>
                <w:szCs w:val="21"/>
              </w:rPr>
              <w:t>3、提供巡检报告及巡检记录单；</w:t>
            </w:r>
            <w:r>
              <w:rPr>
                <w:rFonts w:hint="eastAsia" w:ascii="宋体" w:hAnsi="宋体" w:eastAsia="宋体" w:cs="宋体"/>
                <w:color w:val="auto"/>
                <w:sz w:val="21"/>
                <w:szCs w:val="21"/>
              </w:rPr>
              <w:cr/>
            </w:r>
            <w:r>
              <w:rPr>
                <w:rFonts w:hint="eastAsia" w:ascii="宋体" w:hAnsi="宋体" w:eastAsia="宋体" w:cs="宋体"/>
                <w:color w:val="auto"/>
                <w:sz w:val="21"/>
                <w:szCs w:val="21"/>
              </w:rPr>
              <w:t>4、对巡检过程中发现的问题及时处理。</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配置管理</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1、完善配置及变更管理流程；</w:t>
            </w:r>
            <w:r>
              <w:rPr>
                <w:rFonts w:hint="eastAsia" w:ascii="宋体" w:hAnsi="宋体" w:eastAsia="宋体" w:cs="宋体"/>
                <w:color w:val="auto"/>
                <w:sz w:val="21"/>
                <w:szCs w:val="21"/>
              </w:rPr>
              <w:cr/>
            </w:r>
            <w:r>
              <w:rPr>
                <w:rFonts w:hint="eastAsia" w:ascii="宋体" w:hAnsi="宋体" w:eastAsia="宋体" w:cs="宋体"/>
                <w:color w:val="auto"/>
                <w:sz w:val="21"/>
                <w:szCs w:val="21"/>
              </w:rPr>
              <w:t>2、对设备系统运行参数进行配置及变更；</w:t>
            </w:r>
            <w:r>
              <w:rPr>
                <w:rFonts w:hint="eastAsia" w:ascii="宋体" w:hAnsi="宋体" w:eastAsia="宋体" w:cs="宋体"/>
                <w:color w:val="auto"/>
                <w:sz w:val="21"/>
                <w:szCs w:val="21"/>
              </w:rPr>
              <w:cr/>
            </w:r>
            <w:r>
              <w:rPr>
                <w:rFonts w:hint="eastAsia" w:ascii="宋体" w:hAnsi="宋体" w:eastAsia="宋体" w:cs="宋体"/>
                <w:color w:val="auto"/>
                <w:sz w:val="21"/>
                <w:szCs w:val="21"/>
              </w:rPr>
              <w:t>3、对设备系统访问权限进行配置及变更；</w:t>
            </w:r>
            <w:r>
              <w:rPr>
                <w:rFonts w:hint="eastAsia" w:ascii="宋体" w:hAnsi="宋体" w:eastAsia="宋体" w:cs="宋体"/>
                <w:color w:val="auto"/>
                <w:sz w:val="21"/>
                <w:szCs w:val="21"/>
              </w:rPr>
              <w:cr/>
            </w:r>
            <w:r>
              <w:rPr>
                <w:rFonts w:hint="eastAsia" w:ascii="宋体" w:hAnsi="宋体" w:eastAsia="宋体" w:cs="宋体"/>
                <w:color w:val="auto"/>
                <w:sz w:val="21"/>
                <w:szCs w:val="21"/>
              </w:rPr>
              <w:t>4、维护设备系统配置信息表（CMDB)。</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咨询服务</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1、对提出的需求，提供技术实现可行性分析及改进建议；</w:t>
            </w:r>
            <w:r>
              <w:rPr>
                <w:rFonts w:hint="eastAsia" w:ascii="宋体" w:hAnsi="宋体" w:eastAsia="宋体" w:cs="宋体"/>
                <w:color w:val="auto"/>
                <w:sz w:val="21"/>
                <w:szCs w:val="21"/>
              </w:rPr>
              <w:cr/>
            </w:r>
            <w:r>
              <w:rPr>
                <w:rFonts w:hint="eastAsia" w:ascii="宋体" w:hAnsi="宋体" w:eastAsia="宋体" w:cs="宋体"/>
                <w:color w:val="auto"/>
                <w:sz w:val="21"/>
                <w:szCs w:val="21"/>
              </w:rPr>
              <w:t>2、对现有基础设施的易用性、可靠性、稳定性提供合理建议；</w:t>
            </w:r>
            <w:r>
              <w:rPr>
                <w:rFonts w:hint="eastAsia" w:ascii="宋体" w:hAnsi="宋体" w:eastAsia="宋体" w:cs="宋体"/>
                <w:color w:val="auto"/>
                <w:sz w:val="21"/>
                <w:szCs w:val="21"/>
              </w:rPr>
              <w:cr/>
            </w:r>
            <w:r>
              <w:rPr>
                <w:rFonts w:hint="eastAsia" w:ascii="宋体" w:hAnsi="宋体" w:eastAsia="宋体" w:cs="宋体"/>
                <w:color w:val="auto"/>
                <w:sz w:val="21"/>
                <w:szCs w:val="21"/>
              </w:rPr>
              <w:t>3、完善事件及问题管理流程；</w:t>
            </w:r>
            <w:r>
              <w:rPr>
                <w:rFonts w:hint="eastAsia" w:ascii="宋体" w:hAnsi="宋体" w:eastAsia="宋体" w:cs="宋体"/>
                <w:color w:val="auto"/>
                <w:sz w:val="21"/>
                <w:szCs w:val="21"/>
              </w:rPr>
              <w:cr/>
            </w:r>
            <w:r>
              <w:rPr>
                <w:rFonts w:hint="eastAsia" w:ascii="宋体" w:hAnsi="宋体" w:eastAsia="宋体" w:cs="宋体"/>
                <w:color w:val="auto"/>
                <w:sz w:val="21"/>
                <w:szCs w:val="21"/>
              </w:rPr>
              <w:t>4、对第三方系统接入及升级改造方案提供技术咨询。</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1125"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系统故障处理</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1、发现系统故障及时响应，及时查找原因并恢复业务可用性；</w:t>
            </w:r>
            <w:r>
              <w:rPr>
                <w:rFonts w:hint="eastAsia" w:ascii="宋体" w:hAnsi="宋体" w:eastAsia="宋体" w:cs="宋体"/>
                <w:color w:val="auto"/>
                <w:sz w:val="21"/>
                <w:szCs w:val="21"/>
              </w:rPr>
              <w:cr/>
            </w:r>
            <w:r>
              <w:rPr>
                <w:rFonts w:hint="eastAsia" w:ascii="宋体" w:hAnsi="宋体" w:eastAsia="宋体" w:cs="宋体"/>
                <w:color w:val="auto"/>
                <w:sz w:val="21"/>
                <w:szCs w:val="21"/>
              </w:rPr>
              <w:t>2、按事件管理流程及故障级别，及时分配技术及人力资源，并进行故障处理；</w:t>
            </w:r>
            <w:r>
              <w:rPr>
                <w:rFonts w:hint="eastAsia" w:ascii="宋体" w:hAnsi="宋体" w:eastAsia="宋体" w:cs="宋体"/>
                <w:color w:val="auto"/>
                <w:sz w:val="21"/>
                <w:szCs w:val="21"/>
              </w:rPr>
              <w:cr/>
            </w:r>
            <w:r>
              <w:rPr>
                <w:rFonts w:hint="eastAsia" w:ascii="宋体" w:hAnsi="宋体" w:eastAsia="宋体" w:cs="宋体"/>
                <w:color w:val="auto"/>
                <w:sz w:val="21"/>
                <w:szCs w:val="21"/>
              </w:rPr>
              <w:t>3、详细记录事件工单；</w:t>
            </w:r>
            <w:r>
              <w:rPr>
                <w:rFonts w:hint="eastAsia" w:ascii="宋体" w:hAnsi="宋体" w:eastAsia="宋体" w:cs="宋体"/>
                <w:color w:val="auto"/>
                <w:sz w:val="21"/>
                <w:szCs w:val="21"/>
              </w:rPr>
              <w:cr/>
            </w:r>
            <w:r>
              <w:rPr>
                <w:rFonts w:hint="eastAsia" w:ascii="宋体" w:hAnsi="宋体" w:eastAsia="宋体" w:cs="宋体"/>
                <w:color w:val="auto"/>
                <w:sz w:val="21"/>
                <w:szCs w:val="21"/>
              </w:rPr>
              <w:t>4、对重大故障及时上报，并在满足触发条件下，启动应急处理预案。</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系统优化服务</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1、对设备系统运行状况进行分析，提供优化方案；</w:t>
            </w:r>
            <w:r>
              <w:rPr>
                <w:rFonts w:hint="eastAsia" w:ascii="宋体" w:hAnsi="宋体" w:eastAsia="宋体" w:cs="宋体"/>
                <w:color w:val="auto"/>
                <w:sz w:val="21"/>
                <w:szCs w:val="21"/>
              </w:rPr>
              <w:cr/>
            </w:r>
            <w:r>
              <w:rPr>
                <w:rFonts w:hint="eastAsia" w:ascii="宋体" w:hAnsi="宋体" w:eastAsia="宋体" w:cs="宋体"/>
                <w:color w:val="auto"/>
                <w:sz w:val="21"/>
                <w:szCs w:val="21"/>
              </w:rPr>
              <w:t>2、根据咨询服务中的合理化建议，制定实施方案；</w:t>
            </w:r>
            <w:r>
              <w:rPr>
                <w:rFonts w:hint="eastAsia" w:ascii="宋体" w:hAnsi="宋体" w:eastAsia="宋体" w:cs="宋体"/>
                <w:color w:val="auto"/>
                <w:sz w:val="21"/>
                <w:szCs w:val="21"/>
              </w:rPr>
              <w:cr/>
            </w:r>
            <w:r>
              <w:rPr>
                <w:rFonts w:hint="eastAsia" w:ascii="宋体" w:hAnsi="宋体" w:eastAsia="宋体" w:cs="宋体"/>
                <w:color w:val="auto"/>
                <w:sz w:val="21"/>
                <w:szCs w:val="21"/>
              </w:rPr>
              <w:t>3、对评审通过的优化方案，进行实施；</w:t>
            </w:r>
            <w:r>
              <w:rPr>
                <w:rFonts w:hint="eastAsia" w:ascii="宋体" w:hAnsi="宋体" w:eastAsia="宋体" w:cs="宋体"/>
                <w:color w:val="auto"/>
                <w:sz w:val="21"/>
                <w:szCs w:val="21"/>
              </w:rPr>
              <w:cr/>
            </w:r>
            <w:r>
              <w:rPr>
                <w:rFonts w:hint="eastAsia" w:ascii="宋体" w:hAnsi="宋体" w:eastAsia="宋体" w:cs="宋体"/>
                <w:color w:val="auto"/>
                <w:sz w:val="21"/>
                <w:szCs w:val="21"/>
              </w:rPr>
              <w:t>4、对优化后的效果进行跟踪，确保达到优化目标。</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系统安全服务</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1、根据第三方的安全整改方案，对系统进行安全加固；</w:t>
            </w:r>
            <w:r>
              <w:rPr>
                <w:rFonts w:hint="eastAsia" w:ascii="宋体" w:hAnsi="宋体" w:eastAsia="宋体" w:cs="宋体"/>
                <w:color w:val="auto"/>
                <w:sz w:val="21"/>
                <w:szCs w:val="21"/>
              </w:rPr>
              <w:cr/>
            </w:r>
            <w:r>
              <w:rPr>
                <w:rFonts w:hint="eastAsia" w:ascii="宋体" w:hAnsi="宋体" w:eastAsia="宋体" w:cs="宋体"/>
                <w:color w:val="auto"/>
                <w:sz w:val="21"/>
                <w:szCs w:val="21"/>
              </w:rPr>
              <w:t>2、及时更新系统补丁，对系统存在的安全隐患和安全漏洞进行修复。</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1317" w:type="dxa"/>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应急保障服务</w:t>
            </w:r>
          </w:p>
        </w:tc>
        <w:tc>
          <w:tcPr>
            <w:tcW w:w="3804" w:type="dxa"/>
            <w:tcBorders>
              <w:top w:val="nil"/>
              <w:left w:val="nil"/>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1、定期完善应急预案；（每年1次）</w:t>
            </w:r>
            <w:r>
              <w:rPr>
                <w:rFonts w:hint="eastAsia" w:ascii="宋体" w:hAnsi="宋体" w:eastAsia="宋体" w:cs="宋体"/>
                <w:color w:val="auto"/>
                <w:sz w:val="21"/>
                <w:szCs w:val="21"/>
              </w:rPr>
              <w:cr/>
            </w:r>
            <w:r>
              <w:rPr>
                <w:rFonts w:hint="eastAsia" w:ascii="宋体" w:hAnsi="宋体" w:eastAsia="宋体" w:cs="宋体"/>
                <w:color w:val="auto"/>
                <w:sz w:val="21"/>
                <w:szCs w:val="21"/>
              </w:rPr>
              <w:t>2、提供应急演练脚本；（每年1次）</w:t>
            </w:r>
            <w:r>
              <w:rPr>
                <w:rFonts w:hint="eastAsia" w:ascii="宋体" w:hAnsi="宋体" w:eastAsia="宋体" w:cs="宋体"/>
                <w:color w:val="auto"/>
                <w:sz w:val="21"/>
                <w:szCs w:val="21"/>
              </w:rPr>
              <w:cr/>
            </w:r>
            <w:r>
              <w:rPr>
                <w:rFonts w:hint="eastAsia" w:ascii="宋体" w:hAnsi="宋体" w:eastAsia="宋体" w:cs="宋体"/>
                <w:color w:val="auto"/>
                <w:sz w:val="21"/>
                <w:szCs w:val="21"/>
              </w:rPr>
              <w:t>3、提供重要时期技术、人力保障；（结息日）。</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1317"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文档管理服务</w:t>
            </w:r>
          </w:p>
        </w:tc>
        <w:tc>
          <w:tcPr>
            <w:tcW w:w="3804" w:type="dxa"/>
            <w:tcBorders>
              <w:top w:val="single" w:color="auto" w:sz="4" w:space="0"/>
              <w:left w:val="single" w:color="auto" w:sz="4" w:space="0"/>
              <w:bottom w:val="single" w:color="auto" w:sz="4" w:space="0"/>
              <w:right w:val="single" w:color="auto" w:sz="4" w:space="0"/>
            </w:tcBorders>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1、完善《系统维护手册》</w:t>
            </w:r>
            <w:r>
              <w:rPr>
                <w:rFonts w:hint="eastAsia" w:ascii="宋体" w:hAnsi="宋体" w:eastAsia="宋体" w:cs="宋体"/>
                <w:color w:val="auto"/>
                <w:sz w:val="21"/>
                <w:szCs w:val="21"/>
              </w:rPr>
              <w:cr/>
            </w:r>
            <w:r>
              <w:rPr>
                <w:rFonts w:hint="eastAsia" w:ascii="宋体" w:hAnsi="宋体" w:eastAsia="宋体" w:cs="宋体"/>
                <w:color w:val="auto"/>
                <w:sz w:val="21"/>
                <w:szCs w:val="21"/>
              </w:rPr>
              <w:t>2、提供《运维服务记录表》</w:t>
            </w:r>
            <w:r>
              <w:rPr>
                <w:rFonts w:hint="eastAsia" w:ascii="宋体" w:hAnsi="宋体" w:eastAsia="宋体" w:cs="宋体"/>
                <w:color w:val="auto"/>
                <w:sz w:val="21"/>
                <w:szCs w:val="21"/>
              </w:rPr>
              <w:cr/>
            </w:r>
            <w:r>
              <w:rPr>
                <w:rFonts w:hint="eastAsia" w:ascii="宋体" w:hAnsi="宋体" w:eastAsia="宋体" w:cs="宋体"/>
                <w:color w:val="auto"/>
                <w:sz w:val="21"/>
                <w:szCs w:val="21"/>
              </w:rPr>
              <w:t>3、提供《运维服务报告》（每月2日前）4、《资产清单》等文档记录（每周更新）。</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1317"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安全扫描</w:t>
            </w:r>
          </w:p>
        </w:tc>
        <w:tc>
          <w:tcPr>
            <w:tcW w:w="3804"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对最终用户的机房提供漏扫服务，并且督促对应的服务商整改，每月一次。</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每月</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客户服务满意度≥94%</w:t>
            </w:r>
            <w:r>
              <w:rPr>
                <w:rFonts w:hint="eastAsia" w:ascii="宋体" w:hAnsi="宋体" w:eastAsia="宋体" w:cs="宋体"/>
                <w:color w:val="auto"/>
                <w:sz w:val="21"/>
                <w:szCs w:val="21"/>
              </w:rPr>
              <w:cr/>
            </w:r>
            <w:r>
              <w:rPr>
                <w:rFonts w:hint="eastAsia" w:ascii="宋体" w:hAnsi="宋体" w:eastAsia="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1317"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网络</w:t>
            </w:r>
          </w:p>
        </w:tc>
        <w:tc>
          <w:tcPr>
            <w:tcW w:w="3804"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机房网络管理，保持网络畅通。</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不小于1名技术人员每周2天5×8驻场</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r>
      <w:tr>
        <w:tblPrEx>
          <w:tblCellMar>
            <w:top w:w="0" w:type="dxa"/>
            <w:left w:w="108" w:type="dxa"/>
            <w:bottom w:w="0" w:type="dxa"/>
            <w:right w:w="108" w:type="dxa"/>
          </w:tblCellMar>
        </w:tblPrEx>
        <w:trPr>
          <w:trHeight w:val="675" w:hRule="atLeast"/>
        </w:trPr>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1317"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其他</w:t>
            </w:r>
          </w:p>
        </w:tc>
        <w:tc>
          <w:tcPr>
            <w:tcW w:w="3804" w:type="dxa"/>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完成用户交办的其他事情。</w:t>
            </w: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c>
          <w:tcPr>
            <w:tcW w:w="0" w:type="auto"/>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hint="eastAsia" w:ascii="宋体" w:hAnsi="宋体" w:eastAsia="宋体" w:cs="宋体"/>
                <w:color w:val="auto"/>
                <w:sz w:val="21"/>
                <w:szCs w:val="21"/>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color w:val="auto"/>
          <w:sz w:val="21"/>
          <w:szCs w:val="21"/>
        </w:rPr>
      </w:pPr>
    </w:p>
    <w:p>
      <w:pPr>
        <w:keepNext w:val="0"/>
        <w:keepLines w:val="0"/>
        <w:pageBreakBefore w:val="0"/>
        <w:widowControl/>
        <w:numPr>
          <w:ilvl w:val="0"/>
          <w:numId w:val="7"/>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color w:val="auto"/>
          <w:sz w:val="21"/>
          <w:szCs w:val="21"/>
        </w:rPr>
      </w:pPr>
      <w:r>
        <w:rPr>
          <w:rFonts w:hint="eastAsia"/>
          <w:color w:val="auto"/>
          <w:sz w:val="21"/>
          <w:szCs w:val="21"/>
        </w:rPr>
        <w:t>质量目标</w:t>
      </w:r>
    </w:p>
    <w:tbl>
      <w:tblPr>
        <w:tblStyle w:val="18"/>
        <w:tblW w:w="5000" w:type="pct"/>
        <w:tblInd w:w="0" w:type="dxa"/>
        <w:tblLayout w:type="autofit"/>
        <w:tblCellMar>
          <w:top w:w="0" w:type="dxa"/>
          <w:left w:w="108" w:type="dxa"/>
          <w:bottom w:w="0" w:type="dxa"/>
          <w:right w:w="108" w:type="dxa"/>
        </w:tblCellMar>
      </w:tblPr>
      <w:tblGrid>
        <w:gridCol w:w="9174"/>
      </w:tblGrid>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1.客户服务满意度：大于94%</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2.系统月最大中断时间：小于20分钟</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3.服务请求响应及时率：大于98%</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4.运维事件关闭率：大于80%</w:t>
            </w:r>
          </w:p>
        </w:tc>
      </w:tr>
    </w:tbl>
    <w:p>
      <w:pPr>
        <w:widowControl/>
        <w:adjustRightInd w:val="0"/>
        <w:snapToGrid w:val="0"/>
        <w:ind w:firstLine="480"/>
        <w:rPr>
          <w:color w:val="0070C0"/>
          <w:szCs w:val="24"/>
        </w:rPr>
      </w:pPr>
    </w:p>
    <w:p>
      <w:pPr>
        <w:keepNext w:val="0"/>
        <w:keepLines w:val="0"/>
        <w:pageBreakBefore w:val="0"/>
        <w:widowControl/>
        <w:numPr>
          <w:ilvl w:val="0"/>
          <w:numId w:val="7"/>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rPr>
      </w:pPr>
      <w:r>
        <w:rPr>
          <w:rFonts w:hint="eastAsia"/>
          <w:color w:val="auto"/>
          <w:sz w:val="21"/>
          <w:szCs w:val="21"/>
        </w:rPr>
        <w:t>支撑方式</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01"/>
        <w:gridCol w:w="1295"/>
        <w:gridCol w:w="5764"/>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1" w:hRule="atLeast"/>
          <w:tblHeader/>
        </w:trPr>
        <w:tc>
          <w:tcPr>
            <w:tcW w:w="442" w:type="pct"/>
            <w:vAlign w:val="center"/>
          </w:tcPr>
          <w:p>
            <w:pPr>
              <w:adjustRightInd w:val="0"/>
              <w:snapToGrid w:val="0"/>
              <w:spacing w:line="240" w:lineRule="auto"/>
              <w:ind w:firstLine="0" w:firstLineChars="0"/>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编号</w:t>
            </w:r>
          </w:p>
        </w:tc>
        <w:tc>
          <w:tcPr>
            <w:tcW w:w="714" w:type="pct"/>
            <w:vAlign w:val="center"/>
          </w:tcPr>
          <w:p>
            <w:pPr>
              <w:adjustRightInd w:val="0"/>
              <w:snapToGrid w:val="0"/>
              <w:spacing w:line="240" w:lineRule="auto"/>
              <w:ind w:firstLine="0" w:firstLineChars="0"/>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服务项目</w:t>
            </w:r>
          </w:p>
        </w:tc>
        <w:tc>
          <w:tcPr>
            <w:tcW w:w="3178" w:type="pct"/>
            <w:vAlign w:val="center"/>
          </w:tcPr>
          <w:p>
            <w:pPr>
              <w:adjustRightInd w:val="0"/>
              <w:snapToGrid w:val="0"/>
              <w:spacing w:line="240" w:lineRule="auto"/>
              <w:ind w:firstLine="0" w:firstLineChars="0"/>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服务内容</w:t>
            </w:r>
          </w:p>
        </w:tc>
        <w:tc>
          <w:tcPr>
            <w:tcW w:w="664" w:type="pct"/>
            <w:vAlign w:val="center"/>
          </w:tcPr>
          <w:p>
            <w:pPr>
              <w:adjustRightInd w:val="0"/>
              <w:snapToGrid w:val="0"/>
              <w:spacing w:line="240" w:lineRule="auto"/>
              <w:ind w:firstLine="0" w:firstLineChars="0"/>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服务时间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42" w:type="pct"/>
            <w:vAlign w:val="center"/>
          </w:tcPr>
          <w:p>
            <w:pPr>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14" w:type="pct"/>
            <w:vAlign w:val="center"/>
          </w:tcPr>
          <w:p>
            <w:pPr>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远程支持</w:t>
            </w:r>
          </w:p>
        </w:tc>
        <w:tc>
          <w:tcPr>
            <w:tcW w:w="3178" w:type="pct"/>
            <w:vAlign w:val="center"/>
          </w:tcPr>
          <w:p>
            <w:pPr>
              <w:adjustRightInd w:val="0"/>
              <w:snapToGrid w:val="0"/>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在维护协议有效期限内，最终用户将获得电话支持，由中选供应商公司资深工程师提供技术服务，进行技术咨询，故障分析，远程诊断，并对严重问题迅速升级，包括将问题升级到专家组或派遣原厂工程师迅速到达现场。电话支持服务为每周7天，每天24小时。</w:t>
            </w:r>
          </w:p>
        </w:tc>
        <w:tc>
          <w:tcPr>
            <w:tcW w:w="664" w:type="pct"/>
            <w:vAlign w:val="center"/>
          </w:tcPr>
          <w:p>
            <w:pPr>
              <w:widowControl/>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7天×24小时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42" w:type="pct"/>
            <w:vAlign w:val="center"/>
          </w:tcPr>
          <w:p>
            <w:pPr>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714" w:type="pct"/>
            <w:vAlign w:val="center"/>
          </w:tcPr>
          <w:p>
            <w:pPr>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现场支持</w:t>
            </w:r>
          </w:p>
        </w:tc>
        <w:tc>
          <w:tcPr>
            <w:tcW w:w="3178" w:type="pct"/>
            <w:vAlign w:val="center"/>
          </w:tcPr>
          <w:p>
            <w:pPr>
              <w:adjustRightInd w:val="0"/>
              <w:snapToGrid w:val="0"/>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对于客户IT系统突发性的故障或突发性的性能下降，中选供应商公司需要求原厂工程师将根据与客户协商确认的服务级别和故障紧急程度，在规定时间内到达现场，排除故障，响应支持服务时间为每周7天，每天24小时。1.软件安装服务2.软件升级的规划和实施3.系统的重新规划4.现场问题的诊断及分析5.实施问题的解决方案6.现场培训实施7.系统性能诊断和性能调整8.IT基础设备系统咨询服务9.硬件系统运维支持服务。</w:t>
            </w:r>
          </w:p>
        </w:tc>
        <w:tc>
          <w:tcPr>
            <w:tcW w:w="664" w:type="pct"/>
            <w:vAlign w:val="center"/>
          </w:tcPr>
          <w:p>
            <w:pPr>
              <w:widowControl/>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7天×24小时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4" w:hRule="atLeast"/>
        </w:trPr>
        <w:tc>
          <w:tcPr>
            <w:tcW w:w="442" w:type="pct"/>
            <w:vAlign w:val="center"/>
          </w:tcPr>
          <w:p>
            <w:pPr>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714" w:type="pct"/>
            <w:vAlign w:val="center"/>
          </w:tcPr>
          <w:p>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驻场支持</w:t>
            </w:r>
          </w:p>
        </w:tc>
        <w:tc>
          <w:tcPr>
            <w:tcW w:w="3178" w:type="pct"/>
            <w:vAlign w:val="center"/>
          </w:tcPr>
          <w:p>
            <w:pPr>
              <w:adjustRightInd w:val="0"/>
              <w:snapToGrid w:val="0"/>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根据用户需求，需要保障至少一人可以到用户指定地点驻场运维。完成用户分配的其他工作。</w:t>
            </w:r>
          </w:p>
        </w:tc>
        <w:tc>
          <w:tcPr>
            <w:tcW w:w="664" w:type="pct"/>
            <w:vAlign w:val="center"/>
          </w:tcPr>
          <w:p>
            <w:pPr>
              <w:widowControl/>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5天×8小时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6" w:hRule="atLeast"/>
        </w:trPr>
        <w:tc>
          <w:tcPr>
            <w:tcW w:w="5000" w:type="pct"/>
            <w:gridSpan w:val="4"/>
            <w:vAlign w:val="center"/>
          </w:tcPr>
          <w:p>
            <w:pPr>
              <w:widowControl/>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总计</w:t>
            </w:r>
          </w:p>
        </w:tc>
      </w:tr>
    </w:tbl>
    <w:p>
      <w:pPr>
        <w:keepNext w:val="0"/>
        <w:keepLines w:val="0"/>
        <w:pageBreakBefore w:val="0"/>
        <w:widowControl/>
        <w:numPr>
          <w:ilvl w:val="0"/>
          <w:numId w:val="7"/>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支持服务报告</w:t>
      </w:r>
    </w:p>
    <w:p>
      <w:pPr>
        <w:widowControl/>
        <w:adjustRightInd w:val="0"/>
        <w:snapToGrid w:val="0"/>
        <w:spacing w:line="360" w:lineRule="auto"/>
        <w:ind w:firstLine="480"/>
        <w:rPr>
          <w:rFonts w:hint="eastAsia" w:ascii="宋体" w:hAnsi="宋体" w:eastAsia="宋体" w:cs="宋体"/>
          <w:color w:val="auto"/>
          <w:sz w:val="21"/>
          <w:szCs w:val="21"/>
        </w:rPr>
      </w:pPr>
      <w:r>
        <w:rPr>
          <w:rFonts w:hint="eastAsia" w:ascii="宋体" w:hAnsi="宋体" w:eastAsia="宋体" w:cs="宋体"/>
          <w:color w:val="auto"/>
          <w:sz w:val="21"/>
          <w:szCs w:val="21"/>
        </w:rPr>
        <w:t>为使双方能及时获得实际的技术支持情况，中选供应商将定期提交服务报告（次月2个工作日内提供上月服务报告）。服务报告的应至少包括如下内容：</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5"/>
        <w:gridCol w:w="1404"/>
        <w:gridCol w:w="1826"/>
        <w:gridCol w:w="1686"/>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报告内容</w:t>
            </w:r>
          </w:p>
        </w:tc>
        <w:tc>
          <w:tcPr>
            <w:tcW w:w="765"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报告间隔</w:t>
            </w:r>
          </w:p>
        </w:tc>
        <w:tc>
          <w:tcPr>
            <w:tcW w:w="995"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报告递交方式</w:t>
            </w:r>
          </w:p>
        </w:tc>
        <w:tc>
          <w:tcPr>
            <w:tcW w:w="919"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报告人</w:t>
            </w:r>
          </w:p>
        </w:tc>
        <w:tc>
          <w:tcPr>
            <w:tcW w:w="866"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报告接受人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事件汇总报表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lang w:eastAsia="zh-CN"/>
              </w:rPr>
              <w:t>甲方</w:t>
            </w:r>
            <w:r>
              <w:rPr>
                <w:rFonts w:hint="eastAsia" w:ascii="宋体" w:hAnsi="宋体" w:cs="宋体"/>
                <w:bCs/>
                <w:color w:val="auto"/>
                <w:kern w:val="0"/>
                <w:sz w:val="21"/>
                <w:szCs w:val="21"/>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客户满意度统计报表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lang w:eastAsia="zh-CN"/>
              </w:rPr>
              <w:t>甲方</w:t>
            </w:r>
            <w:r>
              <w:rPr>
                <w:rFonts w:hint="eastAsia" w:ascii="宋体" w:hAnsi="宋体" w:cs="宋体"/>
                <w:bCs/>
                <w:color w:val="auto"/>
                <w:kern w:val="0"/>
                <w:sz w:val="21"/>
                <w:szCs w:val="21"/>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工作量统计报表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lang w:eastAsia="zh-CN"/>
              </w:rPr>
              <w:t>甲方</w:t>
            </w:r>
            <w:r>
              <w:rPr>
                <w:rFonts w:hint="eastAsia" w:ascii="宋体" w:hAnsi="宋体" w:cs="宋体"/>
                <w:bCs/>
                <w:color w:val="auto"/>
                <w:kern w:val="0"/>
                <w:sz w:val="21"/>
                <w:szCs w:val="21"/>
              </w:rPr>
              <w:t>联系人</w:t>
            </w:r>
          </w:p>
        </w:tc>
      </w:tr>
    </w:tbl>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45" w:name="_Toc433286496"/>
      <w:bookmarkStart w:id="46" w:name="_Toc499122958"/>
      <w:bookmarkStart w:id="47" w:name="_Ref441416314"/>
      <w:bookmarkStart w:id="48" w:name="_Toc372810950"/>
      <w:bookmarkStart w:id="49" w:name="_Ref440913342"/>
      <w:bookmarkStart w:id="50" w:name="_Toc501111163"/>
      <w:bookmarkStart w:id="51" w:name="_Ref440913344"/>
      <w:bookmarkStart w:id="52" w:name="_Toc502153345"/>
      <w:bookmarkStart w:id="53" w:name="_Toc433829472"/>
      <w:bookmarkStart w:id="54" w:name="_Toc489550811"/>
      <w:bookmarkStart w:id="55" w:name="_Toc372732405"/>
      <w:bookmarkStart w:id="56" w:name="_Toc489627328"/>
      <w:bookmarkStart w:id="57" w:name="_Ref440913348"/>
      <w:bookmarkStart w:id="58" w:name="_Toc6392"/>
      <w:bookmarkStart w:id="59" w:name="_Toc433032290"/>
      <w:r>
        <w:rPr>
          <w:rFonts w:hint="eastAsia" w:ascii="宋体" w:hAnsi="宋体" w:eastAsia="宋体" w:cs="宋体"/>
          <w:sz w:val="21"/>
          <w:szCs w:val="21"/>
          <w:lang w:val="en-US" w:eastAsia="zh-CN"/>
        </w:rPr>
        <w:t xml:space="preserve">第二条  </w:t>
      </w:r>
      <w:r>
        <w:rPr>
          <w:rFonts w:hint="eastAsia" w:ascii="宋体" w:hAnsi="宋体" w:eastAsia="宋体" w:cs="宋体"/>
          <w:sz w:val="21"/>
          <w:szCs w:val="21"/>
        </w:rPr>
        <w:t>售后服务方式</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保证</w:t>
      </w:r>
      <w:r>
        <w:rPr>
          <w:rFonts w:hint="eastAsia" w:ascii="宋体" w:hAnsi="宋体" w:eastAsia="宋体" w:cs="宋体"/>
          <w:sz w:val="21"/>
          <w:szCs w:val="21"/>
          <w:lang w:eastAsia="zh-CN"/>
        </w:rPr>
        <w:t>甲方</w:t>
      </w:r>
      <w:r>
        <w:rPr>
          <w:rFonts w:hint="eastAsia" w:ascii="宋体" w:hAnsi="宋体" w:eastAsia="宋体" w:cs="宋体"/>
          <w:sz w:val="21"/>
          <w:szCs w:val="21"/>
        </w:rPr>
        <w:t>可以7*24小时享受到技术服务，</w:t>
      </w:r>
      <w:r>
        <w:rPr>
          <w:rFonts w:hint="eastAsia" w:ascii="宋体" w:hAnsi="宋体" w:eastAsia="宋体" w:cs="宋体"/>
          <w:sz w:val="21"/>
          <w:szCs w:val="21"/>
          <w:lang w:eastAsia="zh-CN"/>
        </w:rPr>
        <w:t>乙方</w:t>
      </w:r>
      <w:r>
        <w:rPr>
          <w:rFonts w:hint="eastAsia" w:ascii="宋体" w:hAnsi="宋体" w:eastAsia="宋体" w:cs="宋体"/>
          <w:sz w:val="21"/>
          <w:szCs w:val="21"/>
        </w:rPr>
        <w:t>需提供多种技术服务方法，例如电话支持，远程维护，现场维护等。同时为了保证售后服务的质量，</w:t>
      </w:r>
      <w:r>
        <w:rPr>
          <w:rFonts w:hint="eastAsia" w:ascii="宋体" w:hAnsi="宋体" w:eastAsia="宋体" w:cs="宋体"/>
          <w:sz w:val="21"/>
          <w:szCs w:val="21"/>
          <w:lang w:eastAsia="zh-CN"/>
        </w:rPr>
        <w:t>乙方</w:t>
      </w:r>
      <w:r>
        <w:rPr>
          <w:rFonts w:hint="eastAsia" w:ascii="宋体" w:hAnsi="宋体" w:eastAsia="宋体" w:cs="宋体"/>
          <w:sz w:val="21"/>
          <w:szCs w:val="21"/>
        </w:rPr>
        <w:t>需定期对项目的运行情况进行检查，保证项目的顺利实施。</w:t>
      </w:r>
    </w:p>
    <w:p>
      <w:pPr>
        <w:pStyle w:val="5"/>
        <w:pageBreakBefore w:val="0"/>
        <w:widowControl w:val="0"/>
        <w:numPr>
          <w:ilvl w:val="0"/>
          <w:numId w:val="8"/>
        </w:numPr>
        <w:tabs>
          <w:tab w:val="left" w:pos="1288"/>
          <w:tab w:val="left" w:pos="1429"/>
        </w:tabs>
        <w:kinsoku/>
        <w:wordWrap/>
        <w:overflowPunct/>
        <w:topLinePunct w:val="0"/>
        <w:autoSpaceDE/>
        <w:autoSpaceDN/>
        <w:bidi w:val="0"/>
        <w:adjustRightInd/>
        <w:snapToGrid/>
        <w:spacing w:before="0" w:after="0" w:line="360" w:lineRule="auto"/>
        <w:ind w:left="0" w:leftChars="0" w:firstLine="420" w:firstLineChars="200"/>
        <w:textAlignment w:val="auto"/>
        <w:rPr>
          <w:rFonts w:hint="eastAsia" w:ascii="宋体" w:hAnsi="宋体" w:eastAsia="宋体" w:cs="宋体"/>
          <w:sz w:val="21"/>
          <w:szCs w:val="21"/>
        </w:rPr>
      </w:pPr>
      <w:bookmarkStart w:id="60" w:name="_Toc616"/>
      <w:bookmarkStart w:id="61" w:name="_Toc372810951"/>
      <w:bookmarkStart w:id="62" w:name="_Toc372732406"/>
      <w:r>
        <w:rPr>
          <w:rFonts w:hint="eastAsia" w:ascii="宋体" w:hAnsi="宋体" w:eastAsia="宋体" w:cs="宋体"/>
          <w:sz w:val="21"/>
          <w:szCs w:val="21"/>
        </w:rPr>
        <w:t>电话支持服务</w:t>
      </w:r>
      <w:bookmarkEnd w:id="60"/>
      <w:bookmarkEnd w:id="61"/>
      <w:bookmarkEnd w:id="62"/>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乙方</w:t>
      </w:r>
      <w:r>
        <w:rPr>
          <w:rFonts w:hint="eastAsia" w:ascii="宋体" w:hAnsi="宋体" w:eastAsia="宋体" w:cs="宋体"/>
          <w:sz w:val="21"/>
          <w:szCs w:val="21"/>
        </w:rPr>
        <w:t>提供7*24小时热线电话支持，安排专职值班维护人员接听</w:t>
      </w:r>
      <w:r>
        <w:rPr>
          <w:rFonts w:hint="eastAsia" w:ascii="宋体" w:hAnsi="宋体" w:eastAsia="宋体" w:cs="宋体"/>
          <w:sz w:val="21"/>
          <w:szCs w:val="21"/>
          <w:lang w:eastAsia="zh-CN"/>
        </w:rPr>
        <w:t>甲方</w:t>
      </w:r>
      <w:r>
        <w:rPr>
          <w:rFonts w:hint="eastAsia" w:ascii="宋体" w:hAnsi="宋体" w:eastAsia="宋体" w:cs="宋体"/>
          <w:sz w:val="21"/>
          <w:szCs w:val="21"/>
        </w:rPr>
        <w:t>的电话。</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由技术工程师直接同业务人员对话，帮助解决</w:t>
      </w:r>
      <w:r>
        <w:rPr>
          <w:rFonts w:hint="eastAsia" w:ascii="宋体" w:hAnsi="宋体" w:eastAsia="宋体" w:cs="宋体"/>
          <w:sz w:val="21"/>
          <w:szCs w:val="21"/>
          <w:lang w:eastAsia="zh-CN"/>
        </w:rPr>
        <w:t>甲方</w:t>
      </w:r>
      <w:r>
        <w:rPr>
          <w:rFonts w:hint="eastAsia" w:ascii="宋体" w:hAnsi="宋体" w:eastAsia="宋体" w:cs="宋体"/>
          <w:sz w:val="21"/>
          <w:szCs w:val="21"/>
        </w:rPr>
        <w:t>提出的疑难问题。对</w:t>
      </w:r>
      <w:r>
        <w:rPr>
          <w:rFonts w:hint="eastAsia" w:ascii="宋体" w:hAnsi="宋体" w:eastAsia="宋体" w:cs="宋体"/>
          <w:sz w:val="21"/>
          <w:szCs w:val="21"/>
          <w:lang w:eastAsia="zh-CN"/>
        </w:rPr>
        <w:t>甲方</w:t>
      </w:r>
      <w:r>
        <w:rPr>
          <w:rFonts w:hint="eastAsia" w:ascii="宋体" w:hAnsi="宋体" w:eastAsia="宋体" w:cs="宋体"/>
          <w:sz w:val="21"/>
          <w:szCs w:val="21"/>
        </w:rPr>
        <w:t>提出的一般性问题进行技术咨询和指导。同时根据问题的严重程度，将优先解决</w:t>
      </w:r>
      <w:r>
        <w:rPr>
          <w:rFonts w:hint="eastAsia" w:ascii="宋体" w:hAnsi="宋体" w:eastAsia="宋体" w:cs="宋体"/>
          <w:sz w:val="21"/>
          <w:szCs w:val="21"/>
          <w:lang w:eastAsia="zh-CN"/>
        </w:rPr>
        <w:t>甲方</w:t>
      </w:r>
      <w:r>
        <w:rPr>
          <w:rFonts w:hint="eastAsia" w:ascii="宋体" w:hAnsi="宋体" w:eastAsia="宋体" w:cs="宋体"/>
          <w:sz w:val="21"/>
          <w:szCs w:val="21"/>
        </w:rPr>
        <w:t>认为关键而紧急的任务。</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当</w:t>
      </w:r>
      <w:r>
        <w:rPr>
          <w:rFonts w:hint="eastAsia" w:ascii="宋体" w:hAnsi="宋体" w:eastAsia="宋体" w:cs="宋体"/>
          <w:sz w:val="21"/>
          <w:szCs w:val="21"/>
          <w:lang w:eastAsia="zh-CN"/>
        </w:rPr>
        <w:t>甲方</w:t>
      </w:r>
      <w:r>
        <w:rPr>
          <w:rFonts w:hint="eastAsia" w:ascii="宋体" w:hAnsi="宋体" w:eastAsia="宋体" w:cs="宋体"/>
          <w:sz w:val="21"/>
          <w:szCs w:val="21"/>
        </w:rPr>
        <w:t>报告问题后，项目维护人员立即提供电话支持。首先由项目维护人员向</w:t>
      </w:r>
      <w:r>
        <w:rPr>
          <w:rFonts w:hint="eastAsia" w:ascii="宋体" w:hAnsi="宋体" w:eastAsia="宋体" w:cs="宋体"/>
          <w:sz w:val="21"/>
          <w:szCs w:val="21"/>
          <w:lang w:eastAsia="zh-CN"/>
        </w:rPr>
        <w:t>甲方</w:t>
      </w:r>
      <w:r>
        <w:rPr>
          <w:rFonts w:hint="eastAsia" w:ascii="宋体" w:hAnsi="宋体" w:eastAsia="宋体" w:cs="宋体"/>
          <w:sz w:val="21"/>
          <w:szCs w:val="21"/>
        </w:rPr>
        <w:t>询问起因、现象、结果等有关信息，认真做好记录，建立维护事件记录（CASE），填写《服务和维护记录表》。然后根据这些信息做出判断，提出解决方法，耐心指导</w:t>
      </w:r>
      <w:r>
        <w:rPr>
          <w:rFonts w:hint="eastAsia" w:ascii="宋体" w:hAnsi="宋体" w:eastAsia="宋体" w:cs="宋体"/>
          <w:sz w:val="21"/>
          <w:szCs w:val="21"/>
          <w:lang w:eastAsia="zh-CN"/>
        </w:rPr>
        <w:t>甲方</w:t>
      </w:r>
      <w:r>
        <w:rPr>
          <w:rFonts w:hint="eastAsia" w:ascii="宋体" w:hAnsi="宋体" w:eastAsia="宋体" w:cs="宋体"/>
          <w:sz w:val="21"/>
          <w:szCs w:val="21"/>
        </w:rPr>
        <w:t>逐步完成故障处理。</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如果项目维护维护人员不能解决问题，就会将故障事件通知相关的</w:t>
      </w:r>
      <w:r>
        <w:rPr>
          <w:rFonts w:hint="eastAsia" w:ascii="宋体" w:hAnsi="宋体" w:eastAsia="宋体" w:cs="宋体"/>
          <w:sz w:val="21"/>
          <w:szCs w:val="21"/>
          <w:lang w:eastAsia="zh-CN"/>
        </w:rPr>
        <w:t>乙方</w:t>
      </w:r>
      <w:r>
        <w:rPr>
          <w:rFonts w:hint="eastAsia" w:ascii="宋体" w:hAnsi="宋体" w:eastAsia="宋体" w:cs="宋体"/>
          <w:sz w:val="21"/>
          <w:szCs w:val="21"/>
        </w:rPr>
        <w:t>技术人员解决。通过电话解决问题后，项目维护人员将故障情况和解决方法记录在《服务和维护记录表》。</w:t>
      </w:r>
    </w:p>
    <w:p>
      <w:pPr>
        <w:pStyle w:val="5"/>
        <w:pageBreakBefore w:val="0"/>
        <w:widowControl w:val="0"/>
        <w:numPr>
          <w:ilvl w:val="0"/>
          <w:numId w:val="8"/>
        </w:numPr>
        <w:tabs>
          <w:tab w:val="left" w:pos="1288"/>
          <w:tab w:val="left" w:pos="1429"/>
        </w:tabs>
        <w:kinsoku/>
        <w:wordWrap/>
        <w:overflowPunct/>
        <w:topLinePunct w:val="0"/>
        <w:autoSpaceDE/>
        <w:autoSpaceDN/>
        <w:bidi w:val="0"/>
        <w:adjustRightInd/>
        <w:snapToGrid/>
        <w:spacing w:before="0" w:after="0" w:line="360" w:lineRule="auto"/>
        <w:ind w:left="0" w:leftChars="0" w:firstLine="420" w:firstLineChars="200"/>
        <w:textAlignment w:val="auto"/>
        <w:rPr>
          <w:rFonts w:hint="eastAsia" w:ascii="宋体" w:hAnsi="宋体" w:eastAsia="宋体" w:cs="宋体"/>
          <w:sz w:val="21"/>
          <w:szCs w:val="21"/>
        </w:rPr>
      </w:pPr>
      <w:bookmarkStart w:id="63" w:name="_Toc6480"/>
      <w:r>
        <w:rPr>
          <w:rFonts w:hint="eastAsia" w:ascii="宋体" w:hAnsi="宋体" w:eastAsia="宋体" w:cs="宋体"/>
          <w:sz w:val="21"/>
          <w:szCs w:val="21"/>
        </w:rPr>
        <w:t>电子邮件服务</w:t>
      </w:r>
      <w:bookmarkEnd w:id="63"/>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与电话热线服务相似，</w:t>
      </w:r>
      <w:r>
        <w:rPr>
          <w:rFonts w:hint="eastAsia" w:ascii="宋体" w:hAnsi="宋体" w:eastAsia="宋体" w:cs="宋体"/>
          <w:sz w:val="21"/>
          <w:szCs w:val="21"/>
          <w:lang w:eastAsia="zh-CN"/>
        </w:rPr>
        <w:t>乙方</w:t>
      </w:r>
      <w:r>
        <w:rPr>
          <w:rFonts w:hint="eastAsia" w:ascii="宋体" w:hAnsi="宋体" w:eastAsia="宋体" w:cs="宋体"/>
          <w:sz w:val="21"/>
          <w:szCs w:val="21"/>
        </w:rPr>
        <w:t>提供专门邮件服务渠道。</w:t>
      </w:r>
      <w:r>
        <w:rPr>
          <w:rFonts w:hint="eastAsia" w:ascii="宋体" w:hAnsi="宋体" w:eastAsia="宋体" w:cs="宋体"/>
          <w:sz w:val="21"/>
          <w:szCs w:val="21"/>
          <w:lang w:eastAsia="zh-CN"/>
        </w:rPr>
        <w:t>甲方</w:t>
      </w:r>
      <w:r>
        <w:rPr>
          <w:rFonts w:hint="eastAsia" w:ascii="宋体" w:hAnsi="宋体" w:eastAsia="宋体" w:cs="宋体"/>
          <w:sz w:val="21"/>
          <w:szCs w:val="21"/>
        </w:rPr>
        <w:t>可以以电子邮件的形式，随时向指定邮箱发送关于各类数据问题、业务咨询、投诉等信息，售后服务人员将及时予以回复。同时记录《服务和维护记录表》。对于售后服务人员无法解答的问题，将反馈到项目组或更高领导层请求进一步支持。</w:t>
      </w:r>
    </w:p>
    <w:p>
      <w:pPr>
        <w:pStyle w:val="5"/>
        <w:pageBreakBefore w:val="0"/>
        <w:widowControl w:val="0"/>
        <w:numPr>
          <w:ilvl w:val="0"/>
          <w:numId w:val="8"/>
        </w:numPr>
        <w:tabs>
          <w:tab w:val="left" w:pos="1288"/>
          <w:tab w:val="left" w:pos="1429"/>
        </w:tabs>
        <w:kinsoku/>
        <w:wordWrap/>
        <w:overflowPunct/>
        <w:topLinePunct w:val="0"/>
        <w:autoSpaceDE/>
        <w:autoSpaceDN/>
        <w:bidi w:val="0"/>
        <w:adjustRightInd/>
        <w:snapToGrid/>
        <w:spacing w:before="0" w:after="0" w:line="360" w:lineRule="auto"/>
        <w:ind w:left="0" w:leftChars="0" w:firstLine="420" w:firstLineChars="200"/>
        <w:textAlignment w:val="auto"/>
        <w:rPr>
          <w:rFonts w:hint="eastAsia" w:ascii="宋体" w:hAnsi="宋体" w:eastAsia="宋体" w:cs="宋体"/>
          <w:sz w:val="21"/>
          <w:szCs w:val="21"/>
        </w:rPr>
      </w:pPr>
      <w:bookmarkStart w:id="64" w:name="_Toc372732407"/>
      <w:bookmarkStart w:id="65" w:name="_Toc24419"/>
      <w:bookmarkStart w:id="66" w:name="_Toc372810952"/>
      <w:r>
        <w:rPr>
          <w:rFonts w:hint="eastAsia" w:ascii="宋体" w:hAnsi="宋体" w:eastAsia="宋体" w:cs="宋体"/>
          <w:sz w:val="21"/>
          <w:szCs w:val="21"/>
        </w:rPr>
        <w:t>远程维护</w:t>
      </w:r>
      <w:bookmarkEnd w:id="64"/>
      <w:bookmarkEnd w:id="65"/>
      <w:bookmarkEnd w:id="66"/>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如果电话支持不能解决，在</w:t>
      </w:r>
      <w:r>
        <w:rPr>
          <w:rFonts w:hint="eastAsia" w:ascii="宋体" w:hAnsi="宋体" w:eastAsia="宋体" w:cs="宋体"/>
          <w:sz w:val="21"/>
          <w:szCs w:val="21"/>
          <w:lang w:eastAsia="zh-CN"/>
        </w:rPr>
        <w:t>甲方</w:t>
      </w:r>
      <w:r>
        <w:rPr>
          <w:rFonts w:hint="eastAsia" w:ascii="宋体" w:hAnsi="宋体" w:eastAsia="宋体" w:cs="宋体"/>
          <w:sz w:val="21"/>
          <w:szCs w:val="21"/>
        </w:rPr>
        <w:t>方面的允许下和监控下，</w:t>
      </w:r>
      <w:r>
        <w:rPr>
          <w:rFonts w:hint="eastAsia" w:ascii="宋体" w:hAnsi="宋体" w:eastAsia="宋体" w:cs="宋体"/>
          <w:sz w:val="21"/>
          <w:szCs w:val="21"/>
          <w:lang w:eastAsia="zh-CN"/>
        </w:rPr>
        <w:t>乙方</w:t>
      </w:r>
      <w:r>
        <w:rPr>
          <w:rFonts w:hint="eastAsia" w:ascii="宋体" w:hAnsi="宋体" w:eastAsia="宋体" w:cs="宋体"/>
          <w:sz w:val="21"/>
          <w:szCs w:val="21"/>
        </w:rPr>
        <w:t>维护人员可以用拨号入网方式登录现场进行维护服务。向</w:t>
      </w:r>
      <w:r>
        <w:rPr>
          <w:rFonts w:hint="eastAsia" w:ascii="宋体" w:hAnsi="宋体" w:eastAsia="宋体" w:cs="宋体"/>
          <w:sz w:val="21"/>
          <w:szCs w:val="21"/>
          <w:lang w:eastAsia="zh-CN"/>
        </w:rPr>
        <w:t>甲方</w:t>
      </w:r>
      <w:r>
        <w:rPr>
          <w:rFonts w:hint="eastAsia" w:ascii="宋体" w:hAnsi="宋体" w:eastAsia="宋体" w:cs="宋体"/>
          <w:sz w:val="21"/>
          <w:szCs w:val="21"/>
        </w:rPr>
        <w:t>或相关单位取得维护账号和密码后，项目维护人员将远程登录到</w:t>
      </w:r>
      <w:r>
        <w:rPr>
          <w:rFonts w:hint="eastAsia" w:ascii="宋体" w:hAnsi="宋体" w:eastAsia="宋体" w:cs="宋体"/>
          <w:sz w:val="21"/>
          <w:szCs w:val="21"/>
          <w:lang w:eastAsia="zh-CN"/>
        </w:rPr>
        <w:t>甲方</w:t>
      </w:r>
      <w:r>
        <w:rPr>
          <w:rFonts w:hint="eastAsia" w:ascii="宋体" w:hAnsi="宋体" w:eastAsia="宋体" w:cs="宋体"/>
          <w:sz w:val="21"/>
          <w:szCs w:val="21"/>
        </w:rPr>
        <w:t>的系统进行问题的分析。完成维护工作后，项目维护人员配合</w:t>
      </w:r>
      <w:r>
        <w:rPr>
          <w:rFonts w:hint="eastAsia" w:ascii="宋体" w:hAnsi="宋体" w:eastAsia="宋体" w:cs="宋体"/>
          <w:sz w:val="21"/>
          <w:szCs w:val="21"/>
          <w:lang w:eastAsia="zh-CN"/>
        </w:rPr>
        <w:t>甲方</w:t>
      </w:r>
      <w:r>
        <w:rPr>
          <w:rFonts w:hint="eastAsia" w:ascii="宋体" w:hAnsi="宋体" w:eastAsia="宋体" w:cs="宋体"/>
          <w:sz w:val="21"/>
          <w:szCs w:val="21"/>
        </w:rPr>
        <w:t>或相关单位进行功能测试，然后取消或更改维护账号和密码，将工作情况记录在《服务和维护记录表》。</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对数据和系统安全保密要求高的项目，不允许进行远程登录维护。</w:t>
      </w:r>
    </w:p>
    <w:p>
      <w:pPr>
        <w:pStyle w:val="5"/>
        <w:pageBreakBefore w:val="0"/>
        <w:widowControl w:val="0"/>
        <w:numPr>
          <w:ilvl w:val="0"/>
          <w:numId w:val="8"/>
        </w:numPr>
        <w:tabs>
          <w:tab w:val="left" w:pos="1288"/>
          <w:tab w:val="left" w:pos="1429"/>
        </w:tabs>
        <w:kinsoku/>
        <w:wordWrap/>
        <w:overflowPunct/>
        <w:topLinePunct w:val="0"/>
        <w:autoSpaceDE/>
        <w:autoSpaceDN/>
        <w:bidi w:val="0"/>
        <w:adjustRightInd/>
        <w:snapToGrid/>
        <w:spacing w:before="0" w:after="0" w:line="360" w:lineRule="auto"/>
        <w:ind w:left="0" w:leftChars="0" w:firstLine="420" w:firstLineChars="200"/>
        <w:textAlignment w:val="auto"/>
        <w:rPr>
          <w:rFonts w:hint="eastAsia" w:ascii="宋体" w:hAnsi="宋体" w:eastAsia="宋体" w:cs="宋体"/>
          <w:sz w:val="21"/>
          <w:szCs w:val="21"/>
        </w:rPr>
      </w:pPr>
      <w:bookmarkStart w:id="67" w:name="_Toc8051"/>
      <w:bookmarkStart w:id="68" w:name="_Toc372810953"/>
      <w:bookmarkStart w:id="69" w:name="_Toc372732408"/>
      <w:r>
        <w:rPr>
          <w:rFonts w:hint="eastAsia" w:ascii="宋体" w:hAnsi="宋体" w:eastAsia="宋体" w:cs="宋体"/>
          <w:sz w:val="21"/>
          <w:szCs w:val="21"/>
        </w:rPr>
        <w:t>现场维护</w:t>
      </w:r>
      <w:bookmarkEnd w:id="67"/>
      <w:bookmarkEnd w:id="68"/>
      <w:bookmarkEnd w:id="69"/>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远程维护不能解决，需要派人到现场的事件，由</w:t>
      </w:r>
      <w:r>
        <w:rPr>
          <w:rFonts w:hint="eastAsia" w:ascii="宋体" w:hAnsi="宋体" w:eastAsia="宋体" w:cs="宋体"/>
          <w:sz w:val="21"/>
          <w:szCs w:val="21"/>
          <w:lang w:eastAsia="zh-CN"/>
        </w:rPr>
        <w:t>甲方</w:t>
      </w:r>
      <w:r>
        <w:rPr>
          <w:rFonts w:hint="eastAsia" w:ascii="宋体" w:hAnsi="宋体" w:eastAsia="宋体" w:cs="宋体"/>
          <w:sz w:val="21"/>
          <w:szCs w:val="21"/>
        </w:rPr>
        <w:t>或相关部门以电子文档形式报告情况，并附相关的日志信息或者出错信息。由项目维护人员向项目实施负责人提出故障处理的需求。项目实施负责人根据项目的服务和维护协议、需要服务项目的大小、服务和维护任务的紧急程度、故障的情况等因素对维护工作进行分级处理。不同的维护级别采取不同的反应措施，项目实施负责人安排不同技术层次、技术专长的维护人员进行现场解决，并下达《任务书》给项目维护人员。</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项目维护人员在服务中心制定解决方案，到达现场后，首先对系统和重要数据作好备份，然后才进行数据修改，查找原因，会同</w:t>
      </w:r>
      <w:r>
        <w:rPr>
          <w:rFonts w:hint="eastAsia" w:ascii="宋体" w:hAnsi="宋体" w:eastAsia="宋体" w:cs="宋体"/>
          <w:sz w:val="21"/>
          <w:szCs w:val="21"/>
          <w:lang w:eastAsia="zh-CN"/>
        </w:rPr>
        <w:t>甲方</w:t>
      </w:r>
      <w:r>
        <w:rPr>
          <w:rFonts w:hint="eastAsia" w:ascii="宋体" w:hAnsi="宋体" w:eastAsia="宋体" w:cs="宋体"/>
          <w:sz w:val="21"/>
          <w:szCs w:val="21"/>
        </w:rPr>
        <w:t>或相关部门研究解决的方法，进行故障的处理。解决故障后，填写《任务书》，由用户签字确认，提交给项目实施负责人填写考核意见，连同其它相关文档一起提交</w:t>
      </w:r>
      <w:r>
        <w:rPr>
          <w:rFonts w:hint="eastAsia" w:ascii="宋体" w:hAnsi="宋体" w:eastAsia="宋体" w:cs="宋体"/>
          <w:sz w:val="21"/>
          <w:szCs w:val="21"/>
          <w:lang w:eastAsia="zh-CN"/>
        </w:rPr>
        <w:t>乙方</w:t>
      </w:r>
      <w:r>
        <w:rPr>
          <w:rFonts w:hint="eastAsia" w:ascii="宋体" w:hAnsi="宋体" w:eastAsia="宋体" w:cs="宋体"/>
          <w:sz w:val="21"/>
          <w:szCs w:val="21"/>
        </w:rPr>
        <w:t>配置管理员。</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第三条 </w:t>
      </w:r>
      <w:r>
        <w:rPr>
          <w:rFonts w:hint="eastAsia" w:ascii="宋体" w:hAnsi="宋体" w:eastAsia="宋体" w:cs="宋体"/>
          <w:sz w:val="21"/>
          <w:szCs w:val="21"/>
        </w:rPr>
        <w:t xml:space="preserve"> </w:t>
      </w:r>
      <w:bookmarkStart w:id="70" w:name="_Toc183580907"/>
      <w:r>
        <w:rPr>
          <w:rFonts w:hint="eastAsia" w:ascii="宋体" w:hAnsi="宋体" w:eastAsia="宋体" w:cs="宋体"/>
          <w:sz w:val="21"/>
          <w:szCs w:val="21"/>
        </w:rPr>
        <w:t>双方权利和义务</w:t>
      </w:r>
      <w:bookmarkEnd w:id="44"/>
      <w:bookmarkEnd w:id="70"/>
    </w:p>
    <w:p>
      <w:pPr>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甲方权利和义务</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甲方应提供乙方工作所需基本环境。</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甲方应向乙方提供并允许乙方为维护工作目的而使用合同双方商议确认的信息、数据、资料。</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甲方有权监督本项目实施过程，并指派授权人对乙方按照合同约定所完成工作内容予以确认。</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如乙方履行本合同过程中需与第三方配合，甲方应负责协调乙方与第三方的工作。</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甲方应按本合同第</w:t>
      </w:r>
      <w:r>
        <w:rPr>
          <w:rFonts w:hint="eastAsia" w:ascii="宋体" w:hAnsi="宋体" w:eastAsia="宋体" w:cs="宋体"/>
          <w:sz w:val="21"/>
          <w:szCs w:val="21"/>
          <w:lang w:val="en-US" w:eastAsia="zh-CN"/>
        </w:rPr>
        <w:t>三</w:t>
      </w:r>
      <w:r>
        <w:rPr>
          <w:rFonts w:hint="eastAsia" w:ascii="宋体" w:hAnsi="宋体" w:eastAsia="宋体" w:cs="宋体"/>
          <w:sz w:val="21"/>
          <w:szCs w:val="21"/>
        </w:rPr>
        <w:t>条的约定向乙方支付款项。</w:t>
      </w:r>
    </w:p>
    <w:p>
      <w:pPr>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乙方权利和义务</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乙方保证维护工作符合合同中约定的质量要求。</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乙方保证其现场维护人员拥有从事本项目维护工作的资格水平。</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乙方应按照本合同第</w:t>
      </w:r>
      <w:r>
        <w:rPr>
          <w:rFonts w:hint="eastAsia" w:ascii="宋体" w:hAnsi="宋体" w:eastAsia="宋体" w:cs="宋体"/>
          <w:sz w:val="21"/>
          <w:szCs w:val="21"/>
          <w:lang w:val="en-US" w:eastAsia="zh-CN"/>
        </w:rPr>
        <w:t>四</w:t>
      </w:r>
      <w:r>
        <w:rPr>
          <w:rFonts w:hint="eastAsia" w:ascii="宋体" w:hAnsi="宋体" w:eastAsia="宋体" w:cs="宋体"/>
          <w:sz w:val="21"/>
          <w:szCs w:val="21"/>
        </w:rPr>
        <w:t>条的约定向甲方交付维护成果。</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乙方保证在合同履行过程中不侵犯第三方知识产权。</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乙方人员在甲方所涉及项目的现场工作期间,应严格遵守最终用户的有关规章管理制度。</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71" w:name="_Toc93134301"/>
      <w:r>
        <w:rPr>
          <w:rFonts w:hint="eastAsia" w:ascii="宋体" w:hAnsi="宋体" w:eastAsia="宋体" w:cs="宋体"/>
          <w:sz w:val="21"/>
          <w:szCs w:val="21"/>
          <w:lang w:val="en-US" w:eastAsia="zh-CN"/>
        </w:rPr>
        <w:t xml:space="preserve">第四条 </w:t>
      </w:r>
      <w:r>
        <w:rPr>
          <w:rFonts w:hint="eastAsia" w:ascii="宋体" w:hAnsi="宋体" w:eastAsia="宋体" w:cs="宋体"/>
          <w:sz w:val="21"/>
          <w:szCs w:val="21"/>
        </w:rPr>
        <w:t xml:space="preserve"> </w:t>
      </w:r>
      <w:bookmarkStart w:id="72" w:name="_Toc183580908"/>
      <w:r>
        <w:rPr>
          <w:rFonts w:hint="eastAsia" w:ascii="宋体" w:hAnsi="宋体" w:eastAsia="宋体" w:cs="宋体"/>
          <w:sz w:val="21"/>
          <w:szCs w:val="21"/>
        </w:rPr>
        <w:t>付款及支付</w:t>
      </w:r>
      <w:bookmarkEnd w:id="71"/>
      <w:bookmarkEnd w:id="72"/>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1、合同总价款:</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本合同总价款：¥</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元</w:t>
      </w:r>
      <w:r>
        <w:rPr>
          <w:rFonts w:hint="eastAsia" w:ascii="宋体" w:hAnsi="宋体" w:eastAsia="宋体" w:cs="宋体"/>
          <w:sz w:val="21"/>
          <w:szCs w:val="21"/>
          <w:lang w:val="en-US" w:eastAsia="zh-CN"/>
        </w:rPr>
        <w:t>,</w:t>
      </w:r>
      <w:r>
        <w:rPr>
          <w:rFonts w:hint="eastAsia" w:ascii="宋体" w:hAnsi="宋体" w:eastAsia="宋体" w:cs="宋体"/>
          <w:sz w:val="21"/>
          <w:szCs w:val="21"/>
        </w:rPr>
        <w:t>大写：</w:t>
      </w:r>
      <w:r>
        <w:rPr>
          <w:rFonts w:hint="eastAsia" w:ascii="宋体" w:hAnsi="宋体" w:eastAsia="宋体" w:cs="宋体"/>
          <w:sz w:val="21"/>
          <w:szCs w:val="21"/>
          <w:u w:val="single"/>
        </w:rPr>
        <w:t>人民币</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w:t>
      </w:r>
      <w:r>
        <w:rPr>
          <w:rFonts w:hint="eastAsia" w:ascii="宋体" w:hAnsi="宋体" w:eastAsia="宋体" w:cs="宋体"/>
          <w:sz w:val="21"/>
          <w:szCs w:val="21"/>
          <w:highlight w:val="none"/>
        </w:rPr>
        <w:t>不含税率金额</w:t>
      </w:r>
      <w:r>
        <w:rPr>
          <w:rFonts w:hint="eastAsia" w:ascii="宋体" w:hAnsi="宋体" w:eastAsia="宋体" w:cs="宋体"/>
          <w:sz w:val="21"/>
          <w:szCs w:val="21"/>
          <w:highlight w:val="none"/>
          <w:u w:val="none"/>
        </w:rPr>
        <w:t>¥</w:t>
      </w:r>
      <w:r>
        <w:rPr>
          <w:rFonts w:hint="eastAsia" w:ascii="宋体" w:hAnsi="宋体" w:eastAsia="宋体" w:cs="宋体"/>
          <w:sz w:val="21"/>
          <w:szCs w:val="21"/>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，增值税税额</w:t>
      </w:r>
      <w:r>
        <w:rPr>
          <w:rFonts w:hint="eastAsia" w:ascii="宋体" w:hAnsi="宋体" w:eastAsia="宋体" w:cs="宋体"/>
          <w:sz w:val="21"/>
          <w:szCs w:val="21"/>
          <w:highlight w:val="none"/>
          <w:u w:val="none"/>
        </w:rPr>
        <w:t>¥</w:t>
      </w:r>
      <w:r>
        <w:rPr>
          <w:rFonts w:hint="eastAsia" w:ascii="宋体" w:hAnsi="宋体" w:eastAsia="宋体" w:cs="宋体"/>
          <w:sz w:val="21"/>
          <w:szCs w:val="21"/>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，提供税率为6%的增值税发票。</w:t>
      </w:r>
      <w:r>
        <w:rPr>
          <w:rFonts w:hint="eastAsia" w:ascii="宋体" w:hAnsi="宋体" w:eastAsia="宋体" w:cs="宋体"/>
          <w:sz w:val="21"/>
          <w:szCs w:val="21"/>
        </w:rPr>
        <w:t>本合同总价款</w:t>
      </w:r>
      <w:r>
        <w:rPr>
          <w:rFonts w:hint="eastAsia" w:ascii="宋体" w:hAnsi="宋体" w:eastAsia="宋体" w:cs="宋体"/>
          <w:sz w:val="21"/>
          <w:szCs w:val="21"/>
          <w:highlight w:val="none"/>
        </w:rPr>
        <w:t>是完成项目的含税全包价，所有价格变动的风险均由乙方承担，甲方不需再向乙方支付任何费用。所有款项均以人民币结算，支付方式可为支票、电汇方式。</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2、付款方式</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highlight w:val="none"/>
          <w:lang w:val="en-US" w:eastAsia="zh-CN"/>
        </w:rPr>
        <w:t>视项目进度情况，在一年内分期支付合同总价款。本服务费用合同签订生效后5个工作日内，甲方收到乙方开具的等额增值税专用发票（可抵扣6%）支付合同金额的40%（即¥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lang w:val="en-US" w:eastAsia="zh-CN"/>
        </w:rPr>
        <w:t>）。</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（2）本服务项目半年期甲方收到乙方开具的等额增值税专用发票（可抵扣6%）支付合同金额的40%（即¥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lang w:val="en-US" w:eastAsia="zh-CN"/>
        </w:rPr>
        <w:t>）。</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（3）本服务验收合格后5个工作日内，甲方收到乙方开具的等额增值税专用发票（可抵扣6%）支付合同金额的20%（即¥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u w:val="none"/>
          <w:lang w:val="en-US" w:eastAsia="zh-CN"/>
        </w:rPr>
        <w:t>）</w:t>
      </w:r>
      <w:r>
        <w:rPr>
          <w:rFonts w:hint="eastAsia" w:ascii="宋体" w:hAnsi="宋体" w:eastAsia="宋体" w:cs="宋体"/>
          <w:sz w:val="21"/>
          <w:szCs w:val="21"/>
          <w:highlight w:val="none"/>
          <w:lang w:val="en-US" w:eastAsia="zh-CN"/>
        </w:rPr>
        <w:t>付清余款。</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乙方收款信息</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开户名称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X</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开户行：</w:t>
      </w:r>
      <w:r>
        <w:rPr>
          <w:rFonts w:hint="eastAsia" w:ascii="宋体" w:hAnsi="宋体" w:eastAsia="宋体" w:cs="宋体"/>
          <w:sz w:val="21"/>
          <w:szCs w:val="21"/>
          <w:lang w:val="en-US" w:eastAsia="zh-CN"/>
        </w:rPr>
        <w:t>X</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账号：</w:t>
      </w:r>
      <w:r>
        <w:rPr>
          <w:rFonts w:hint="eastAsia" w:ascii="宋体" w:hAnsi="宋体" w:eastAsia="宋体" w:cs="宋体"/>
          <w:sz w:val="21"/>
          <w:szCs w:val="21"/>
          <w:lang w:val="en-US" w:eastAsia="zh-CN"/>
        </w:rPr>
        <w:t>X</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73" w:name="_Toc93134296"/>
      <w:bookmarkStart w:id="74" w:name="_Toc183580909"/>
      <w:r>
        <w:rPr>
          <w:rFonts w:hint="eastAsia" w:ascii="宋体" w:hAnsi="宋体" w:eastAsia="宋体" w:cs="宋体"/>
          <w:sz w:val="21"/>
          <w:szCs w:val="21"/>
          <w:lang w:val="en-US" w:eastAsia="zh-CN"/>
        </w:rPr>
        <w:t xml:space="preserve">第五条  </w:t>
      </w:r>
      <w:r>
        <w:rPr>
          <w:rFonts w:hint="eastAsia" w:ascii="宋体" w:hAnsi="宋体" w:eastAsia="宋体" w:cs="宋体"/>
          <w:sz w:val="21"/>
          <w:szCs w:val="21"/>
        </w:rPr>
        <w:t>交付</w:t>
      </w:r>
      <w:bookmarkEnd w:id="73"/>
      <w:bookmarkEnd w:id="74"/>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、乙方将根据本合同约定的期限、形式和数量完成维护成果的交付,甲方应确认并签署交付清单。</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甲乙双方任何一方均有义务对另一方提出的变更交付期限、形式和数量的任何合同建议给予适当的考虑，如果各方协商达成一致，应以书面形式对变更予以记录并按各方确认变更的期限、形式和数量执行。如果约定履行在先的义务未能履行，则约定履行在后的义务可以相应顺延。</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75" w:name="_Toc93134297"/>
      <w:bookmarkStart w:id="76" w:name="_Toc183580910"/>
      <w:r>
        <w:rPr>
          <w:rFonts w:hint="eastAsia" w:ascii="宋体" w:hAnsi="宋体" w:eastAsia="宋体" w:cs="宋体"/>
          <w:sz w:val="21"/>
          <w:szCs w:val="21"/>
          <w:lang w:val="en-US" w:eastAsia="zh-CN"/>
        </w:rPr>
        <w:t xml:space="preserve">第六条  </w:t>
      </w:r>
      <w:r>
        <w:rPr>
          <w:rFonts w:hint="eastAsia" w:ascii="宋体" w:hAnsi="宋体" w:eastAsia="宋体" w:cs="宋体"/>
          <w:sz w:val="21"/>
          <w:szCs w:val="21"/>
        </w:rPr>
        <w:t>验收</w:t>
      </w:r>
      <w:bookmarkEnd w:id="75"/>
      <w:bookmarkEnd w:id="76"/>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验收标准：</w:t>
      </w:r>
      <w:r>
        <w:rPr>
          <w:rFonts w:hint="eastAsia" w:ascii="宋体" w:hAnsi="宋体" w:eastAsia="宋体" w:cs="宋体"/>
          <w:sz w:val="21"/>
          <w:szCs w:val="21"/>
        </w:rPr>
        <w:t>本项目根据行业标准、国家标准要求进行验收，验收期间产生的成果抽查、专家评审等费用由</w:t>
      </w:r>
      <w:r>
        <w:rPr>
          <w:rFonts w:hint="eastAsia" w:ascii="宋体" w:hAnsi="宋体" w:eastAsia="宋体" w:cs="宋体"/>
          <w:sz w:val="21"/>
          <w:szCs w:val="21"/>
          <w:lang w:val="en-US" w:eastAsia="zh-CN"/>
        </w:rPr>
        <w:t>乙方</w:t>
      </w:r>
      <w:r>
        <w:rPr>
          <w:rFonts w:hint="eastAsia" w:ascii="宋体" w:hAnsi="宋体" w:eastAsia="宋体" w:cs="宋体"/>
          <w:sz w:val="21"/>
          <w:szCs w:val="21"/>
        </w:rPr>
        <w:t>负责。</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验收方式：</w:t>
      </w:r>
      <w:r>
        <w:rPr>
          <w:rFonts w:hint="eastAsia" w:ascii="宋体" w:hAnsi="宋体" w:eastAsia="宋体" w:cs="宋体"/>
          <w:sz w:val="21"/>
          <w:szCs w:val="21"/>
        </w:rPr>
        <w:t>维护期结束后【7】个工作日内对</w:t>
      </w:r>
      <w:r>
        <w:rPr>
          <w:rFonts w:hint="eastAsia" w:ascii="宋体" w:hAnsi="宋体" w:eastAsia="宋体" w:cs="宋体"/>
          <w:sz w:val="21"/>
          <w:szCs w:val="21"/>
          <w:lang w:val="en-US" w:eastAsia="zh-CN"/>
        </w:rPr>
        <w:t>乙方</w:t>
      </w:r>
      <w:r>
        <w:rPr>
          <w:rFonts w:hint="eastAsia" w:ascii="宋体" w:hAnsi="宋体" w:eastAsia="宋体" w:cs="宋体"/>
          <w:sz w:val="21"/>
          <w:szCs w:val="21"/>
        </w:rPr>
        <w:t>的工作结果进行验收。验收应当按照双方在合同中关于验收标准的约定进行。</w:t>
      </w:r>
      <w:r>
        <w:rPr>
          <w:rFonts w:hint="eastAsia" w:ascii="宋体" w:hAnsi="宋体" w:eastAsia="宋体" w:cs="宋体"/>
          <w:sz w:val="21"/>
          <w:szCs w:val="21"/>
          <w:lang w:val="en-US" w:eastAsia="zh-CN"/>
        </w:rPr>
        <w:t>乙方</w:t>
      </w:r>
      <w:r>
        <w:rPr>
          <w:rFonts w:hint="eastAsia" w:ascii="宋体" w:hAnsi="宋体" w:eastAsia="宋体" w:cs="宋体"/>
          <w:sz w:val="21"/>
          <w:szCs w:val="21"/>
        </w:rPr>
        <w:t>应当在验收前做好验收的必要准备并向</w:t>
      </w:r>
      <w:r>
        <w:rPr>
          <w:rFonts w:hint="eastAsia" w:ascii="宋体" w:hAnsi="宋体" w:eastAsia="宋体" w:cs="宋体"/>
          <w:sz w:val="21"/>
          <w:szCs w:val="21"/>
          <w:lang w:val="en-US" w:eastAsia="zh-CN"/>
        </w:rPr>
        <w:t>甲方</w:t>
      </w:r>
      <w:r>
        <w:rPr>
          <w:rFonts w:hint="eastAsia" w:ascii="宋体" w:hAnsi="宋体" w:eastAsia="宋体" w:cs="宋体"/>
          <w:sz w:val="21"/>
          <w:szCs w:val="21"/>
        </w:rPr>
        <w:t>提交验收申请书。验收合格后由双方签署验收报告并加盖公章。</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77" w:name="_Toc93134300"/>
      <w:bookmarkStart w:id="78" w:name="_Toc183580911"/>
      <w:r>
        <w:rPr>
          <w:rFonts w:hint="eastAsia" w:ascii="宋体" w:hAnsi="宋体" w:eastAsia="宋体" w:cs="宋体"/>
          <w:sz w:val="21"/>
          <w:szCs w:val="21"/>
          <w:lang w:val="en-US" w:eastAsia="zh-CN"/>
        </w:rPr>
        <w:t xml:space="preserve">第七条  </w:t>
      </w:r>
      <w:r>
        <w:rPr>
          <w:rFonts w:hint="eastAsia" w:ascii="宋体" w:hAnsi="宋体" w:eastAsia="宋体" w:cs="宋体"/>
          <w:sz w:val="21"/>
          <w:szCs w:val="21"/>
        </w:rPr>
        <w:t>保密</w:t>
      </w:r>
      <w:bookmarkEnd w:id="77"/>
      <w:bookmarkEnd w:id="78"/>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bookmarkStart w:id="79" w:name="_Toc93134302"/>
      <w:r>
        <w:rPr>
          <w:rFonts w:hint="eastAsia" w:ascii="宋体" w:hAnsi="宋体" w:eastAsia="宋体" w:cs="宋体"/>
          <w:sz w:val="21"/>
          <w:szCs w:val="21"/>
        </w:rPr>
        <w:t>1、合同双方在履行本合同过程中从对方获取的业务资料或技术资料，以及项目相关的其他重要信息，无论在本合同期限内还是合同终止后，均有保密责任。未经对方事先书面授权，不得以任何方式向任何其他组织或个人泄露、转让、许可使用、交换、赠与或与任何组织或个人共同使用或不正当使用。任何一方因违反本条规定，给对方造成损失的，违规方应承担相应的法律和民事赔偿责任。</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甲方在履行本合同过程中从最终用户处获知的业务资料或技术资料，以及项目相关的其他重要信息，如乙方需从甲方处获取，甲方必须经得最终用户书面同意，甲方不得私自以任何方式向任何其他组织或个人泄露、转让、许可使用、交换、赠与或与任何组织或个人共同使用或不正当使用。因乙方私自以任何方式获得该项目相关信息，给甲方或最终用户造成损失的，乙方应承担相应的法律和民事赔偿责任。</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合同双方均有义务要求该方接触保密信息的关联公司人员及该方职员对保密信息进行保密。任何一方的关联公司人员及职员违背上述承诺，向第三方披露保密信息的，或依据该保密信息向第三方提出任何建议，均被视为该方违反本合同规定。</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4、不论合同是否解除或终止，本条款持续有效。</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80" w:name="_Toc183580912"/>
      <w:r>
        <w:rPr>
          <w:rFonts w:hint="eastAsia" w:ascii="宋体" w:hAnsi="宋体" w:eastAsia="宋体" w:cs="宋体"/>
          <w:sz w:val="21"/>
          <w:szCs w:val="21"/>
          <w:lang w:val="en-US" w:eastAsia="zh-CN"/>
        </w:rPr>
        <w:t xml:space="preserve">第八条  </w:t>
      </w:r>
      <w:r>
        <w:rPr>
          <w:rFonts w:hint="eastAsia" w:ascii="宋体" w:hAnsi="宋体" w:eastAsia="宋体" w:cs="宋体"/>
          <w:sz w:val="21"/>
          <w:szCs w:val="21"/>
        </w:rPr>
        <w:t>违约责任</w:t>
      </w:r>
      <w:bookmarkEnd w:id="79"/>
      <w:bookmarkEnd w:id="80"/>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1、甲乙双方任何一方不履行合同义务或者履行合同义务不符合合同约定的，均视为违约。违约方应当承担继续履行、采取补救措施或者赔偿损失等违约责任。</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2、因甲乙双方任何一方的原因致使另一方遭受第三方追诉的，违约方应赔偿由此给另一方造成的损失。</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因乙方原因造成不能按约定时间进行系统维护的，乙方应承担违约责任，并交纳违约金。每逾期一周，按2%的比例从合同价款中扣除违约金，不足一周的按一周计算。违约金总额不得超过合同价款的5%，超过此上限，甲方有权解除合同，或向乙方提出索赔。</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81" w:name="_Toc183580913"/>
      <w:r>
        <w:rPr>
          <w:rFonts w:hint="eastAsia" w:ascii="宋体" w:hAnsi="宋体" w:eastAsia="宋体" w:cs="宋体"/>
          <w:sz w:val="21"/>
          <w:szCs w:val="21"/>
          <w:lang w:val="en-US" w:eastAsia="zh-CN"/>
        </w:rPr>
        <w:t xml:space="preserve">第九条  </w:t>
      </w:r>
      <w:r>
        <w:rPr>
          <w:rFonts w:hint="eastAsia" w:ascii="宋体" w:hAnsi="宋体" w:eastAsia="宋体" w:cs="宋体"/>
          <w:sz w:val="21"/>
          <w:szCs w:val="21"/>
        </w:rPr>
        <w:t>法律适用及争议解决</w:t>
      </w:r>
      <w:bookmarkEnd w:id="81"/>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1、本合同按中华人民共和国法律解释，受中华人民共和国法律管辖。</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rPr>
        <w:t>2、因本合同引起的或与本合同有关的任何争议，应本着友好合作的态度协商解决；如协商不成，均可提请</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所在地有管辖权人民法院裁决。</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3、诉讼期间，除争议内容以外，双方均应继续履行合同约定的其他内容。</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82" w:name="_Toc183580914"/>
      <w:r>
        <w:rPr>
          <w:rFonts w:hint="eastAsia" w:ascii="宋体" w:hAnsi="宋体" w:eastAsia="宋体" w:cs="宋体"/>
          <w:sz w:val="21"/>
          <w:szCs w:val="21"/>
          <w:lang w:val="en-US" w:eastAsia="zh-CN"/>
        </w:rPr>
        <w:t xml:space="preserve">第十条  </w:t>
      </w:r>
      <w:r>
        <w:rPr>
          <w:rFonts w:hint="eastAsia" w:ascii="宋体" w:hAnsi="宋体" w:eastAsia="宋体" w:cs="宋体"/>
          <w:sz w:val="21"/>
          <w:szCs w:val="21"/>
        </w:rPr>
        <w:t>不可抗力</w:t>
      </w:r>
      <w:bookmarkEnd w:id="82"/>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1、本合同中不可抗力指地震、台风、火灾、水灾、战争、罢工以及其他双方不能预见、不能避免并不能克服的客观情况。</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2、不可抗力事件发生后，乙方应尽快书面通知</w:t>
      </w:r>
      <w:r>
        <w:rPr>
          <w:rFonts w:hint="eastAsia" w:ascii="宋体" w:hAnsi="宋体" w:eastAsia="宋体" w:cs="宋体"/>
          <w:sz w:val="21"/>
          <w:szCs w:val="21"/>
          <w:lang w:val="en-US" w:eastAsia="zh-CN"/>
        </w:rPr>
        <w:t>甲方</w:t>
      </w:r>
      <w:r>
        <w:rPr>
          <w:rFonts w:hint="eastAsia" w:ascii="宋体" w:hAnsi="宋体" w:eastAsia="宋体" w:cs="宋体"/>
          <w:sz w:val="21"/>
          <w:szCs w:val="21"/>
        </w:rPr>
        <w:t>。除甲方书面另行要求外，乙方应尽实际可能继续履行合同义务，以及寻求采取合理的方案履行不受不可抗力影响的其他事项。如果不可抗力事件影响持续超过一百二十六天，双方应通过友好协商在合理时间内达成一致协议。</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83" w:name="_Toc183580915"/>
      <w:bookmarkStart w:id="84" w:name="_Toc94583922"/>
      <w:r>
        <w:rPr>
          <w:rFonts w:hint="eastAsia" w:ascii="宋体" w:hAnsi="宋体" w:eastAsia="宋体" w:cs="宋体"/>
          <w:sz w:val="21"/>
          <w:szCs w:val="21"/>
          <w:lang w:val="en-US" w:eastAsia="zh-CN"/>
        </w:rPr>
        <w:t xml:space="preserve">第十一条  </w:t>
      </w:r>
      <w:r>
        <w:rPr>
          <w:rFonts w:hint="eastAsia" w:ascii="宋体" w:hAnsi="宋体" w:eastAsia="宋体" w:cs="宋体"/>
          <w:sz w:val="21"/>
          <w:szCs w:val="21"/>
        </w:rPr>
        <w:t>合同的变更、转让和终止</w:t>
      </w:r>
      <w:bookmarkEnd w:id="83"/>
      <w:bookmarkEnd w:id="84"/>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1、本合同一经生效，非经甲乙双方书面同意，任何一方以任意方式对合同条款的增减及其他变更均无约束力。</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2、除甲方事先书面同意外，本项目不得转让或分包。</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3、甲乙双方全部履行合同及相关附件约定的义务后，本合同自然终止。本合同及相关附件任何条款之法律效力于尚未终止前，均及于双方当事人和各自的承继人、受让人。</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4、如果乙方无力偿还债务或进入破产程序，甲方可在任何时候通知乙方终止合同而不给乙方补偿，该合同的终止不损害或影响甲方已经采取或将要采取的任何行动或补救措施的权利。</w:t>
      </w:r>
    </w:p>
    <w:p>
      <w:pPr>
        <w:pStyle w:val="3"/>
        <w:pageBreakBefore w:val="0"/>
        <w:widowControl w:val="0"/>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85" w:name="_Toc94583923"/>
      <w:bookmarkEnd w:id="85"/>
      <w:bookmarkStart w:id="86" w:name="_Toc158626198"/>
      <w:bookmarkEnd w:id="86"/>
      <w:bookmarkStart w:id="87" w:name="_Toc183580916"/>
      <w:bookmarkStart w:id="88" w:name="_Toc94496265"/>
      <w:bookmarkStart w:id="89" w:name="_Toc93137852"/>
      <w:bookmarkStart w:id="90" w:name="_Toc94583924"/>
      <w:r>
        <w:rPr>
          <w:rFonts w:hint="eastAsia" w:ascii="宋体" w:hAnsi="宋体" w:eastAsia="宋体" w:cs="宋体"/>
          <w:sz w:val="21"/>
          <w:szCs w:val="21"/>
          <w:lang w:val="en-US" w:eastAsia="zh-CN"/>
        </w:rPr>
        <w:t xml:space="preserve">第十二条  </w:t>
      </w:r>
      <w:r>
        <w:rPr>
          <w:rFonts w:hint="eastAsia" w:ascii="宋体" w:hAnsi="宋体" w:eastAsia="宋体" w:cs="宋体"/>
          <w:sz w:val="21"/>
          <w:szCs w:val="21"/>
        </w:rPr>
        <w:t>其他</w:t>
      </w:r>
      <w:bookmarkEnd w:id="87"/>
      <w:bookmarkEnd w:id="88"/>
      <w:bookmarkEnd w:id="89"/>
      <w:bookmarkEnd w:id="90"/>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1、本合同书一式</w:t>
      </w:r>
      <w:r>
        <w:rPr>
          <w:rFonts w:hint="eastAsia" w:ascii="宋体" w:hAnsi="宋体" w:eastAsia="宋体" w:cs="宋体"/>
          <w:sz w:val="21"/>
          <w:szCs w:val="21"/>
          <w:u w:val="single"/>
          <w:lang w:val="en-US" w:eastAsia="zh-CN"/>
        </w:rPr>
        <w:t xml:space="preserve"> 肆 </w:t>
      </w:r>
      <w:r>
        <w:rPr>
          <w:rFonts w:hint="eastAsia" w:ascii="宋体" w:hAnsi="宋体" w:eastAsia="宋体" w:cs="宋体"/>
          <w:sz w:val="21"/>
          <w:szCs w:val="21"/>
        </w:rPr>
        <w:t>份，甲乙双方各</w:t>
      </w:r>
      <w:r>
        <w:rPr>
          <w:rFonts w:hint="eastAsia" w:ascii="宋体" w:hAnsi="宋体" w:eastAsia="宋体" w:cs="宋体"/>
          <w:sz w:val="21"/>
          <w:szCs w:val="21"/>
          <w:u w:val="single"/>
          <w:lang w:val="en-US" w:eastAsia="zh-CN"/>
        </w:rPr>
        <w:t xml:space="preserve"> 贰 </w:t>
      </w:r>
      <w:r>
        <w:rPr>
          <w:rFonts w:hint="eastAsia" w:ascii="宋体" w:hAnsi="宋体" w:eastAsia="宋体" w:cs="宋体"/>
          <w:sz w:val="21"/>
          <w:szCs w:val="21"/>
        </w:rPr>
        <w:t>份，自双方法人代表签章或授权代表签字并加盖合同章之日起生效，如在两页（含两页）以上，还应加盖骑缝章。</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2、除双方在合同中约定的条款外，其他</w:t>
      </w:r>
      <w:r>
        <w:rPr>
          <w:rFonts w:hint="eastAsia" w:ascii="宋体" w:hAnsi="宋体" w:eastAsia="宋体" w:cs="宋体"/>
          <w:sz w:val="21"/>
          <w:szCs w:val="21"/>
          <w:lang w:val="en-US" w:eastAsia="zh-CN"/>
        </w:rPr>
        <w:t>未尽事宜</w:t>
      </w:r>
      <w:r>
        <w:rPr>
          <w:rFonts w:hint="eastAsia" w:ascii="宋体" w:hAnsi="宋体" w:eastAsia="宋体" w:cs="宋体"/>
          <w:sz w:val="21"/>
          <w:szCs w:val="21"/>
        </w:rPr>
        <w:t>均以合同附件或其他形式另行约定，并构成本合同不可分割之组成部分。本合同的内容及其有关的附件是甲乙双方关于此次合作所最终确定的全部内容，双方均承认其已审阅、理解本合同及相关附件的内容，并同意取代甲乙双方之间此前关于此次合作所做出的任何口头或书面的承诺，如本合同所涉各项文件之条款发生冲突，按有利于甲方的原则执行。</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3、本合同各条款的标题只是为了阅读和援引方便而设立，当某个条款具体内容与标题的含义不一致时，不影响该条款具体内容之效力。</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4、任何一方未行使其于此合同项下的任何权利均不得构成或被视为该方对这些权利或其它权利的放弃或丧失。</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5、如果此合同中的任何条款或约定被认为非法或不可执行，则除这些条款和约定以外的其他条款的效力和可执行性不得因此而受到影响。</w:t>
      </w:r>
    </w:p>
    <w:p>
      <w:pPr>
        <w:pStyle w:val="2"/>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（以下无正文）</w:t>
      </w:r>
    </w:p>
    <w:p>
      <w:pPr>
        <w:pStyle w:val="2"/>
        <w:rPr>
          <w:rFonts w:hint="eastAsia"/>
        </w:rPr>
      </w:pPr>
    </w:p>
    <w:p>
      <w:pPr>
        <w:pStyle w:val="8"/>
        <w:ind w:left="0" w:leftChars="0" w:firstLine="0" w:firstLineChars="0"/>
        <w:rPr>
          <w:rFonts w:hint="eastAsia"/>
        </w:rPr>
      </w:pPr>
      <w:bookmarkStart w:id="91" w:name="_Toc158626200"/>
      <w:bookmarkEnd w:id="91"/>
    </w:p>
    <w:p>
      <w:pPr>
        <w:widowControl/>
        <w:spacing w:line="360" w:lineRule="auto"/>
        <w:ind w:firstLine="210" w:firstLineChars="100"/>
        <w:rPr>
          <w:rFonts w:hint="eastAsia" w:ascii="宋体" w:hAnsi="宋体" w:eastAsia="宋体" w:cs="宋体"/>
          <w:szCs w:val="21"/>
        </w:rPr>
      </w:pPr>
      <w:r>
        <w:rPr>
          <w:rFonts w:hint="eastAsia" w:ascii="宋体" w:hAnsi="宋体" w:eastAsia="宋体" w:cs="宋体"/>
          <w:szCs w:val="21"/>
        </w:rPr>
        <w:t>甲方（盖章）：</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乙方（盖章）：</w:t>
      </w:r>
    </w:p>
    <w:p>
      <w:pPr>
        <w:widowControl/>
        <w:spacing w:line="360" w:lineRule="auto"/>
        <w:rPr>
          <w:rFonts w:hint="eastAsia" w:ascii="宋体" w:hAnsi="宋体" w:eastAsia="宋体" w:cs="宋体"/>
          <w:szCs w:val="21"/>
        </w:rPr>
      </w:pPr>
    </w:p>
    <w:p>
      <w:pPr>
        <w:widowControl/>
        <w:spacing w:line="360" w:lineRule="auto"/>
        <w:ind w:firstLine="210" w:firstLineChars="100"/>
        <w:rPr>
          <w:rFonts w:hint="eastAsia" w:ascii="宋体" w:hAnsi="宋体" w:eastAsia="宋体" w:cs="宋体"/>
          <w:szCs w:val="21"/>
          <w:u w:val="single"/>
        </w:rPr>
      </w:pPr>
      <w:r>
        <w:rPr>
          <w:rFonts w:hint="eastAsia" w:ascii="宋体" w:hAnsi="宋体" w:eastAsia="宋体" w:cs="宋体"/>
          <w:szCs w:val="21"/>
        </w:rPr>
        <w:t>签字：</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签字：</w:t>
      </w:r>
      <w:r>
        <w:rPr>
          <w:rFonts w:hint="eastAsia" w:ascii="宋体" w:hAnsi="宋体" w:eastAsia="宋体" w:cs="宋体"/>
          <w:szCs w:val="21"/>
          <w:u w:val="single"/>
        </w:rPr>
        <w:t xml:space="preserve">                    </w:t>
      </w:r>
    </w:p>
    <w:p>
      <w:pPr>
        <w:widowControl/>
        <w:spacing w:line="360" w:lineRule="auto"/>
        <w:rPr>
          <w:rFonts w:hint="eastAsia" w:ascii="宋体" w:hAnsi="宋体" w:eastAsia="宋体" w:cs="宋体"/>
          <w:szCs w:val="21"/>
          <w:u w:val="single"/>
        </w:rPr>
      </w:pPr>
    </w:p>
    <w:p>
      <w:pPr>
        <w:widowControl/>
        <w:spacing w:line="360" w:lineRule="auto"/>
        <w:ind w:firstLine="210" w:firstLineChars="100"/>
        <w:rPr>
          <w:rFonts w:hint="eastAsia" w:ascii="宋体" w:hAnsi="宋体" w:eastAsia="宋体" w:cs="宋体"/>
          <w:szCs w:val="21"/>
          <w:u w:val="single"/>
        </w:rPr>
      </w:pPr>
      <w:r>
        <w:rPr>
          <w:rFonts w:hint="eastAsia" w:ascii="宋体" w:hAnsi="宋体" w:eastAsia="宋体" w:cs="宋体"/>
          <w:szCs w:val="21"/>
          <w:u w:val="none"/>
        </w:rPr>
        <w:t>日期：</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日期：</w:t>
      </w:r>
      <w:r>
        <w:rPr>
          <w:rFonts w:hint="eastAsia" w:ascii="宋体" w:hAnsi="宋体" w:eastAsia="宋体" w:cs="宋体"/>
          <w:szCs w:val="21"/>
          <w:u w:val="single"/>
        </w:rPr>
        <w:t xml:space="preserve">                    </w:t>
      </w:r>
    </w:p>
    <w:p>
      <w:pPr>
        <w:bidi w:val="0"/>
        <w:rPr>
          <w:rFonts w:hint="eastAsia"/>
          <w:highlight w:val="none"/>
          <w:lang w:eastAsia="zh-CN"/>
        </w:rPr>
      </w:pPr>
      <w:r>
        <w:rPr>
          <w:rFonts w:hint="eastAsia"/>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15"/>
        <w:ind w:left="0" w:leftChars="0" w:firstLine="0" w:firstLineChars="0"/>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jc w:val="center"/>
        <w:rPr>
          <w:rFonts w:ascii="宋体" w:hAnsi="宋体"/>
          <w:b w:val="0"/>
          <w:sz w:val="30"/>
          <w:szCs w:val="30"/>
          <w:highlight w:val="none"/>
        </w:rPr>
      </w:pPr>
      <w:bookmarkStart w:id="92" w:name="_Toc11673"/>
      <w:bookmarkStart w:id="93" w:name="_Toc7910"/>
      <w:bookmarkStart w:id="94" w:name="_Toc25007"/>
      <w:r>
        <w:rPr>
          <w:rFonts w:hint="eastAsia"/>
          <w:b w:val="0"/>
          <w:sz w:val="32"/>
          <w:szCs w:val="32"/>
          <w:highlight w:val="none"/>
        </w:rPr>
        <w:t>第五章 采购需求</w:t>
      </w:r>
      <w:bookmarkEnd w:id="92"/>
      <w:bookmarkEnd w:id="93"/>
      <w:bookmarkEnd w:id="94"/>
    </w:p>
    <w:p>
      <w:pPr>
        <w:pStyle w:val="3"/>
        <w:pageBreakBefore w:val="0"/>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sz w:val="21"/>
          <w:szCs w:val="21"/>
        </w:rPr>
      </w:pPr>
      <w:bookmarkStart w:id="95" w:name="_Toc271532075"/>
      <w:bookmarkStart w:id="96" w:name="_Toc3836"/>
      <w:bookmarkStart w:id="97" w:name="_Toc294173754"/>
      <w:bookmarkStart w:id="98" w:name="_Toc475021528"/>
      <w:r>
        <w:rPr>
          <w:rFonts w:hint="eastAsia" w:ascii="宋体" w:hAnsi="宋体" w:eastAsia="宋体" w:cs="宋体"/>
          <w:sz w:val="21"/>
          <w:szCs w:val="21"/>
          <w:lang w:val="en-US" w:eastAsia="zh-CN"/>
        </w:rPr>
        <w:t>一、</w:t>
      </w:r>
      <w:r>
        <w:rPr>
          <w:rFonts w:hint="eastAsia" w:ascii="宋体" w:hAnsi="宋体" w:eastAsia="宋体" w:cs="宋体"/>
          <w:sz w:val="21"/>
          <w:szCs w:val="21"/>
        </w:rPr>
        <w:t>项目</w:t>
      </w:r>
      <w:bookmarkEnd w:id="95"/>
      <w:r>
        <w:rPr>
          <w:rFonts w:hint="eastAsia" w:ascii="宋体" w:hAnsi="宋体" w:eastAsia="宋体" w:cs="宋体"/>
          <w:sz w:val="21"/>
          <w:szCs w:val="21"/>
        </w:rPr>
        <w:t>概况</w:t>
      </w:r>
      <w:bookmarkEnd w:id="96"/>
      <w:bookmarkEnd w:id="97"/>
      <w:bookmarkEnd w:id="98"/>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本项目是为机房设备及系统提供技术支持运维服务，同时根据项目的维护要求提供7×24小时现场技术支持和远程技术支持，并对机房资产和网络进行记录与保护。</w:t>
      </w:r>
    </w:p>
    <w:p>
      <w:pPr>
        <w:pStyle w:val="3"/>
        <w:pageBreakBefore w:val="0"/>
        <w:tabs>
          <w:tab w:val="left" w:pos="284"/>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sz w:val="21"/>
          <w:szCs w:val="21"/>
        </w:rPr>
      </w:pPr>
      <w:bookmarkStart w:id="99" w:name="_Toc1464"/>
      <w:bookmarkStart w:id="100" w:name="_Toc508203880"/>
      <w:bookmarkStart w:id="101" w:name="_Toc463969164"/>
      <w:bookmarkStart w:id="102" w:name="_Toc463969439"/>
      <w:bookmarkStart w:id="103" w:name="_Toc490664767"/>
      <w:bookmarkStart w:id="104" w:name="_Toc476140377"/>
      <w:r>
        <w:rPr>
          <w:rFonts w:hint="eastAsia" w:ascii="宋体" w:hAnsi="宋体" w:eastAsia="宋体" w:cs="宋体"/>
          <w:sz w:val="21"/>
          <w:szCs w:val="21"/>
          <w:lang w:val="en-US" w:eastAsia="zh-CN"/>
        </w:rPr>
        <w:t>二、</w:t>
      </w:r>
      <w:r>
        <w:rPr>
          <w:rFonts w:hint="eastAsia" w:ascii="宋体" w:hAnsi="宋体" w:eastAsia="宋体" w:cs="宋体"/>
          <w:sz w:val="21"/>
          <w:szCs w:val="21"/>
        </w:rPr>
        <w:t>采购需求</w:t>
      </w:r>
      <w:bookmarkEnd w:id="99"/>
    </w:p>
    <w:p>
      <w:pPr>
        <w:pStyle w:val="4"/>
        <w:pageBreakBefore w:val="0"/>
        <w:numPr>
          <w:ilvl w:val="1"/>
          <w:numId w:val="12"/>
        </w:numPr>
        <w:tabs>
          <w:tab w:val="left" w:pos="747"/>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sz w:val="21"/>
          <w:szCs w:val="21"/>
        </w:rPr>
      </w:pPr>
      <w:bookmarkStart w:id="105" w:name="_Toc32572"/>
      <w:r>
        <w:rPr>
          <w:rFonts w:hint="eastAsia" w:ascii="宋体" w:hAnsi="宋体" w:eastAsia="宋体" w:cs="宋体"/>
          <w:sz w:val="21"/>
          <w:szCs w:val="21"/>
        </w:rPr>
        <w:t>项目</w:t>
      </w:r>
      <w:r>
        <w:rPr>
          <w:rFonts w:hint="eastAsia" w:ascii="宋体" w:hAnsi="宋体" w:eastAsia="宋体" w:cs="宋体"/>
          <w:sz w:val="21"/>
          <w:szCs w:val="21"/>
          <w:lang w:val="en-US"/>
        </w:rPr>
        <w:t>运维服务</w:t>
      </w:r>
      <w:r>
        <w:rPr>
          <w:rFonts w:hint="eastAsia" w:ascii="宋体" w:hAnsi="宋体" w:eastAsia="宋体" w:cs="宋体"/>
          <w:sz w:val="21"/>
          <w:szCs w:val="21"/>
        </w:rPr>
        <w:t>内容</w:t>
      </w:r>
      <w:bookmarkEnd w:id="105"/>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电话技术支持</w:t>
      </w:r>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提供7*24小时不间断的电话支持服务。在维护协议有效期限内，电话支持服务为每周7天，每天24小时。</w:t>
      </w:r>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周期性现场服务</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软件安装服务</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软件升级的规划和实施</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系统的重新规划</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现场问题的诊断及分析</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实施问题的解决方案</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现场培训实施</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系统性能诊断和性能调整</w:t>
      </w:r>
    </w:p>
    <w:p>
      <w:pPr>
        <w:pageBreakBefore w:val="0"/>
        <w:widowControl/>
        <w:numPr>
          <w:ilvl w:val="0"/>
          <w:numId w:val="13"/>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IT基础设备系统咨询服务</w:t>
      </w:r>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硬件系统运维支持服务</w:t>
      </w:r>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服务期内，对以上服务范围内的设备系统提供风险式维护服务，包括设备预防性检查维护（健康巡检）、硬件系统故障诊断、备件系统安装、以及相关的技术咨询服务，并针对维护的项目准备维护服务的实施方案和制度，以保证客户的硬件系统安全、可靠的运行。</w:t>
      </w:r>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系统巡检服务</w:t>
      </w:r>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定期实施系统健康检查。并提交相应的IT系统健康检查报告，巡检报告将评估该IT系统的可用性及性能现状，并就发现的问题或隐患提出建议的解决方案。</w:t>
      </w:r>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5.</w:t>
      </w:r>
      <w:r>
        <w:rPr>
          <w:rFonts w:hint="eastAsia" w:ascii="宋体" w:hAnsi="宋体" w:eastAsia="宋体" w:cs="宋体"/>
          <w:b/>
          <w:bCs/>
          <w:sz w:val="21"/>
          <w:szCs w:val="21"/>
        </w:rPr>
        <w:t>培训服务</w:t>
      </w:r>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在周期性驻现场服务中，技术专家进行技术交流培训，培训内容为机房内软、硬件产品相关的产品技术内容。</w:t>
      </w:r>
    </w:p>
    <w:p>
      <w:pPr>
        <w:pStyle w:val="5"/>
        <w:pageBreakBefore w:val="0"/>
        <w:tabs>
          <w:tab w:val="left" w:pos="1288"/>
          <w:tab w:val="left" w:pos="1429"/>
        </w:tabs>
        <w:kinsoku/>
        <w:wordWrap/>
        <w:overflowPunct/>
        <w:topLinePunct w:val="0"/>
        <w:autoSpaceDE/>
        <w:autoSpaceDN/>
        <w:bidi w:val="0"/>
        <w:spacing w:before="0" w:after="0" w:line="360" w:lineRule="auto"/>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6.</w:t>
      </w:r>
      <w:r>
        <w:rPr>
          <w:rFonts w:hint="eastAsia" w:ascii="宋体" w:hAnsi="宋体" w:eastAsia="宋体" w:cs="宋体"/>
          <w:b/>
          <w:bCs/>
          <w:sz w:val="21"/>
          <w:szCs w:val="21"/>
        </w:rPr>
        <w:t>文档管理服务</w:t>
      </w:r>
    </w:p>
    <w:p>
      <w:pPr>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提供设备系统的维护文档、软件光盘等技术资料。在发生系统参数配置变更、性能改进以及该设备系统出现新技术动态时，应提供相关文档。</w:t>
      </w:r>
    </w:p>
    <w:p>
      <w:pPr>
        <w:pageBreakBefore w:val="0"/>
        <w:widowControl/>
        <w:numPr>
          <w:ilvl w:val="0"/>
          <w:numId w:val="14"/>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提供《维护手册》、《运维服务记录表》、《运维服务报告》等</w:t>
      </w:r>
    </w:p>
    <w:tbl>
      <w:tblPr>
        <w:tblStyle w:val="18"/>
        <w:tblW w:w="4998" w:type="pct"/>
        <w:tblInd w:w="0" w:type="dxa"/>
        <w:tblLayout w:type="autofit"/>
        <w:tblCellMar>
          <w:top w:w="0" w:type="dxa"/>
          <w:left w:w="108" w:type="dxa"/>
          <w:bottom w:w="0" w:type="dxa"/>
          <w:right w:w="108" w:type="dxa"/>
        </w:tblCellMar>
      </w:tblPr>
      <w:tblGrid>
        <w:gridCol w:w="596"/>
        <w:gridCol w:w="1185"/>
        <w:gridCol w:w="3218"/>
        <w:gridCol w:w="1702"/>
        <w:gridCol w:w="2469"/>
      </w:tblGrid>
      <w:tr>
        <w:tblPrEx>
          <w:tblCellMar>
            <w:top w:w="0" w:type="dxa"/>
            <w:left w:w="108" w:type="dxa"/>
            <w:bottom w:w="0" w:type="dxa"/>
            <w:right w:w="108" w:type="dxa"/>
          </w:tblCellMar>
        </w:tblPrEx>
        <w:trPr>
          <w:trHeight w:val="312" w:hRule="atLeast"/>
        </w:trPr>
        <w:tc>
          <w:tcPr>
            <w:tcW w:w="325" w:type="pct"/>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序号</w:t>
            </w:r>
          </w:p>
        </w:tc>
        <w:tc>
          <w:tcPr>
            <w:tcW w:w="646" w:type="pct"/>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服务项</w:t>
            </w:r>
          </w:p>
        </w:tc>
        <w:tc>
          <w:tcPr>
            <w:tcW w:w="1754" w:type="pct"/>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服务内容描述</w:t>
            </w:r>
          </w:p>
        </w:tc>
        <w:tc>
          <w:tcPr>
            <w:tcW w:w="928" w:type="pct"/>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服务标准</w:t>
            </w:r>
          </w:p>
        </w:tc>
        <w:tc>
          <w:tcPr>
            <w:tcW w:w="1345" w:type="pct"/>
            <w:vMerge w:val="restar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服务质量目标</w:t>
            </w:r>
          </w:p>
        </w:tc>
      </w:tr>
      <w:tr>
        <w:tblPrEx>
          <w:tblCellMar>
            <w:top w:w="0" w:type="dxa"/>
            <w:left w:w="108" w:type="dxa"/>
            <w:bottom w:w="0" w:type="dxa"/>
            <w:right w:w="108" w:type="dxa"/>
          </w:tblCellMar>
        </w:tblPrEx>
        <w:trPr>
          <w:trHeight w:val="312" w:hRule="atLeast"/>
        </w:trPr>
        <w:tc>
          <w:tcPr>
            <w:tcW w:w="325" w:type="pct"/>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646" w:type="pct"/>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1754" w:type="pct"/>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928" w:type="pct"/>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1345" w:type="pct"/>
            <w:vMerge w:val="continue"/>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r>
      <w:tr>
        <w:tblPrEx>
          <w:tblCellMar>
            <w:top w:w="0" w:type="dxa"/>
            <w:left w:w="108" w:type="dxa"/>
            <w:bottom w:w="0" w:type="dxa"/>
            <w:right w:w="108" w:type="dxa"/>
          </w:tblCellMar>
        </w:tblPrEx>
        <w:trPr>
          <w:trHeight w:val="24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4674" w:type="pct"/>
            <w:gridSpan w:val="4"/>
            <w:tcBorders>
              <w:top w:val="single" w:color="auto" w:sz="4" w:space="0"/>
              <w:left w:val="nil"/>
              <w:bottom w:val="single" w:color="auto" w:sz="4" w:space="0"/>
              <w:right w:val="single" w:color="000000"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运维服务</w:t>
            </w:r>
          </w:p>
        </w:tc>
      </w:tr>
      <w:tr>
        <w:tblPrEx>
          <w:tblCellMar>
            <w:top w:w="0" w:type="dxa"/>
            <w:left w:w="108" w:type="dxa"/>
            <w:bottom w:w="0" w:type="dxa"/>
            <w:right w:w="108" w:type="dxa"/>
          </w:tblCellMar>
        </w:tblPrEx>
        <w:trPr>
          <w:trHeight w:val="1215"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日常维护</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1、电话及远程技术支持服务；</w:t>
            </w:r>
            <w:r>
              <w:rPr>
                <w:rFonts w:hint="eastAsia" w:ascii="宋体" w:hAnsi="宋体" w:cs="宋体"/>
                <w:color w:val="auto"/>
                <w:sz w:val="21"/>
                <w:szCs w:val="21"/>
              </w:rPr>
              <w:cr/>
            </w:r>
            <w:r>
              <w:rPr>
                <w:rFonts w:hint="eastAsia" w:ascii="宋体" w:hAnsi="宋体" w:cs="宋体"/>
                <w:color w:val="auto"/>
                <w:sz w:val="21"/>
                <w:szCs w:val="21"/>
              </w:rPr>
              <w:t>2、现场/驻场技术支持服务；</w:t>
            </w:r>
            <w:r>
              <w:rPr>
                <w:rFonts w:hint="eastAsia" w:ascii="宋体" w:hAnsi="宋体" w:cs="宋体"/>
                <w:color w:val="auto"/>
                <w:sz w:val="21"/>
                <w:szCs w:val="21"/>
              </w:rPr>
              <w:cr/>
            </w:r>
            <w:r>
              <w:rPr>
                <w:rFonts w:hint="eastAsia" w:ascii="宋体" w:hAnsi="宋体" w:cs="宋体"/>
                <w:color w:val="auto"/>
                <w:sz w:val="21"/>
                <w:szCs w:val="21"/>
              </w:rPr>
              <w:t>3、设备系统运行状态及性能监测；</w:t>
            </w:r>
            <w:r>
              <w:rPr>
                <w:rFonts w:hint="eastAsia" w:ascii="宋体" w:hAnsi="宋体" w:cs="宋体"/>
                <w:color w:val="auto"/>
                <w:sz w:val="21"/>
                <w:szCs w:val="21"/>
              </w:rPr>
              <w:cr/>
            </w:r>
            <w:r>
              <w:rPr>
                <w:rFonts w:hint="eastAsia" w:ascii="宋体" w:hAnsi="宋体" w:cs="宋体"/>
                <w:color w:val="auto"/>
                <w:sz w:val="21"/>
                <w:szCs w:val="21"/>
              </w:rPr>
              <w:t>4、硬件设备系统保养服务；</w:t>
            </w:r>
            <w:r>
              <w:rPr>
                <w:rFonts w:hint="eastAsia" w:ascii="宋体" w:hAnsi="宋体" w:cs="宋体"/>
                <w:color w:val="auto"/>
                <w:sz w:val="21"/>
                <w:szCs w:val="21"/>
              </w:rPr>
              <w:cr/>
            </w:r>
            <w:r>
              <w:rPr>
                <w:rFonts w:hint="eastAsia" w:ascii="宋体" w:hAnsi="宋体" w:cs="宋体"/>
                <w:color w:val="auto"/>
                <w:sz w:val="21"/>
                <w:szCs w:val="21"/>
              </w:rPr>
              <w:t>5、设备配置备份与恢复服务。</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技术支持电话7×24响应不小于</w:t>
            </w:r>
            <w:r>
              <w:rPr>
                <w:rFonts w:hint="eastAsia" w:ascii="宋体" w:hAnsi="宋体" w:cs="宋体"/>
                <w:color w:val="auto"/>
                <w:sz w:val="21"/>
                <w:szCs w:val="21"/>
              </w:rPr>
              <w:cr/>
            </w:r>
            <w:r>
              <w:rPr>
                <w:rFonts w:hint="eastAsia" w:ascii="宋体" w:hAnsi="宋体" w:cs="宋体"/>
                <w:color w:val="auto"/>
                <w:sz w:val="21"/>
                <w:szCs w:val="21"/>
              </w:rPr>
              <w:t>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系统月最大中断时间≤86分钟</w:t>
            </w:r>
            <w:r>
              <w:rPr>
                <w:rFonts w:hint="eastAsia" w:ascii="宋体" w:hAnsi="宋体" w:cs="宋体"/>
                <w:color w:val="auto"/>
                <w:sz w:val="21"/>
                <w:szCs w:val="21"/>
              </w:rPr>
              <w:cr/>
            </w:r>
            <w:r>
              <w:rPr>
                <w:rFonts w:hint="eastAsia" w:ascii="宋体" w:hAnsi="宋体" w:cs="宋体"/>
                <w:color w:val="auto"/>
                <w:sz w:val="21"/>
                <w:szCs w:val="21"/>
              </w:rPr>
              <w:t>服务请求响应及时率≥98%</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2</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定期巡检</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1、定期对设备系统运行状况进行巡检；</w:t>
            </w:r>
            <w:r>
              <w:rPr>
                <w:rFonts w:hint="eastAsia" w:ascii="宋体" w:hAnsi="宋体" w:cs="宋体"/>
                <w:color w:val="auto"/>
                <w:sz w:val="21"/>
                <w:szCs w:val="21"/>
              </w:rPr>
              <w:cr/>
            </w:r>
            <w:r>
              <w:rPr>
                <w:rFonts w:hint="eastAsia" w:ascii="宋体" w:hAnsi="宋体" w:cs="宋体"/>
                <w:color w:val="auto"/>
                <w:sz w:val="21"/>
                <w:szCs w:val="21"/>
              </w:rPr>
              <w:t>2、完善设备系统巡检流程及巡检手册；</w:t>
            </w:r>
            <w:r>
              <w:rPr>
                <w:rFonts w:hint="eastAsia" w:ascii="宋体" w:hAnsi="宋体" w:cs="宋体"/>
                <w:color w:val="auto"/>
                <w:sz w:val="21"/>
                <w:szCs w:val="21"/>
              </w:rPr>
              <w:cr/>
            </w:r>
            <w:r>
              <w:rPr>
                <w:rFonts w:hint="eastAsia" w:ascii="宋体" w:hAnsi="宋体" w:cs="宋体"/>
                <w:color w:val="auto"/>
                <w:sz w:val="21"/>
                <w:szCs w:val="21"/>
              </w:rPr>
              <w:t>3、提供巡检报告及巡检记录单；</w:t>
            </w:r>
            <w:r>
              <w:rPr>
                <w:rFonts w:hint="eastAsia" w:ascii="宋体" w:hAnsi="宋体" w:cs="宋体"/>
                <w:color w:val="auto"/>
                <w:sz w:val="21"/>
                <w:szCs w:val="21"/>
              </w:rPr>
              <w:cr/>
            </w:r>
            <w:r>
              <w:rPr>
                <w:rFonts w:hint="eastAsia" w:ascii="宋体" w:hAnsi="宋体" w:cs="宋体"/>
                <w:color w:val="auto"/>
                <w:sz w:val="21"/>
                <w:szCs w:val="21"/>
              </w:rPr>
              <w:t>4、对巡检过程中发现的问题及时处理。</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3</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配置管理</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1、完善配置及变更管理流程；</w:t>
            </w:r>
            <w:r>
              <w:rPr>
                <w:rFonts w:hint="eastAsia" w:ascii="宋体" w:hAnsi="宋体" w:cs="宋体"/>
                <w:color w:val="auto"/>
                <w:sz w:val="21"/>
                <w:szCs w:val="21"/>
              </w:rPr>
              <w:cr/>
            </w:r>
            <w:r>
              <w:rPr>
                <w:rFonts w:hint="eastAsia" w:ascii="宋体" w:hAnsi="宋体" w:cs="宋体"/>
                <w:color w:val="auto"/>
                <w:sz w:val="21"/>
                <w:szCs w:val="21"/>
              </w:rPr>
              <w:t>2、对设备系统运行参数进行配置及变更；</w:t>
            </w:r>
            <w:r>
              <w:rPr>
                <w:rFonts w:hint="eastAsia" w:ascii="宋体" w:hAnsi="宋体" w:cs="宋体"/>
                <w:color w:val="auto"/>
                <w:sz w:val="21"/>
                <w:szCs w:val="21"/>
              </w:rPr>
              <w:cr/>
            </w:r>
            <w:r>
              <w:rPr>
                <w:rFonts w:hint="eastAsia" w:ascii="宋体" w:hAnsi="宋体" w:cs="宋体"/>
                <w:color w:val="auto"/>
                <w:sz w:val="21"/>
                <w:szCs w:val="21"/>
              </w:rPr>
              <w:t>3、对设备系统访问权限进行配置及变更；</w:t>
            </w:r>
            <w:r>
              <w:rPr>
                <w:rFonts w:hint="eastAsia" w:ascii="宋体" w:hAnsi="宋体" w:cs="宋体"/>
                <w:color w:val="auto"/>
                <w:sz w:val="21"/>
                <w:szCs w:val="21"/>
              </w:rPr>
              <w:cr/>
            </w:r>
            <w:r>
              <w:rPr>
                <w:rFonts w:hint="eastAsia" w:ascii="宋体" w:hAnsi="宋体" w:cs="宋体"/>
                <w:color w:val="auto"/>
                <w:sz w:val="21"/>
                <w:szCs w:val="21"/>
              </w:rPr>
              <w:t>4、维护设备系统配置信息表（CMDB)。</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4</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咨询服务</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1、对提出的需求，提供技术实现可行性分析及改进建议；</w:t>
            </w:r>
            <w:r>
              <w:rPr>
                <w:rFonts w:hint="eastAsia" w:ascii="宋体" w:hAnsi="宋体" w:cs="宋体"/>
                <w:color w:val="auto"/>
                <w:sz w:val="21"/>
                <w:szCs w:val="21"/>
              </w:rPr>
              <w:cr/>
            </w:r>
            <w:r>
              <w:rPr>
                <w:rFonts w:hint="eastAsia" w:ascii="宋体" w:hAnsi="宋体" w:cs="宋体"/>
                <w:color w:val="auto"/>
                <w:sz w:val="21"/>
                <w:szCs w:val="21"/>
              </w:rPr>
              <w:t>2、对现有基础设施的易用性、可靠性、稳定性提供合理建议；</w:t>
            </w:r>
            <w:r>
              <w:rPr>
                <w:rFonts w:hint="eastAsia" w:ascii="宋体" w:hAnsi="宋体" w:cs="宋体"/>
                <w:color w:val="auto"/>
                <w:sz w:val="21"/>
                <w:szCs w:val="21"/>
              </w:rPr>
              <w:cr/>
            </w:r>
            <w:r>
              <w:rPr>
                <w:rFonts w:hint="eastAsia" w:ascii="宋体" w:hAnsi="宋体" w:cs="宋体"/>
                <w:color w:val="auto"/>
                <w:sz w:val="21"/>
                <w:szCs w:val="21"/>
              </w:rPr>
              <w:t>3、完善事件及问题管理流程；</w:t>
            </w:r>
            <w:r>
              <w:rPr>
                <w:rFonts w:hint="eastAsia" w:ascii="宋体" w:hAnsi="宋体" w:cs="宋体"/>
                <w:color w:val="auto"/>
                <w:sz w:val="21"/>
                <w:szCs w:val="21"/>
              </w:rPr>
              <w:cr/>
            </w:r>
            <w:r>
              <w:rPr>
                <w:rFonts w:hint="eastAsia" w:ascii="宋体" w:hAnsi="宋体" w:cs="宋体"/>
                <w:color w:val="auto"/>
                <w:sz w:val="21"/>
                <w:szCs w:val="21"/>
              </w:rPr>
              <w:t>4、对第三方系统接入及升级改造方案提供技术咨询。</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1125"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5</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系统故障处理</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1、发现系统故障及时响应，及时查找原因并恢复业务可用性；</w:t>
            </w:r>
            <w:r>
              <w:rPr>
                <w:rFonts w:hint="eastAsia" w:ascii="宋体" w:hAnsi="宋体" w:cs="宋体"/>
                <w:color w:val="auto"/>
                <w:sz w:val="21"/>
                <w:szCs w:val="21"/>
              </w:rPr>
              <w:cr/>
            </w:r>
            <w:r>
              <w:rPr>
                <w:rFonts w:hint="eastAsia" w:ascii="宋体" w:hAnsi="宋体" w:cs="宋体"/>
                <w:color w:val="auto"/>
                <w:sz w:val="21"/>
                <w:szCs w:val="21"/>
              </w:rPr>
              <w:t>2、按事件管理流程及故障级别，及时分配技术及人力资源，并进行故障处理；</w:t>
            </w:r>
            <w:r>
              <w:rPr>
                <w:rFonts w:hint="eastAsia" w:ascii="宋体" w:hAnsi="宋体" w:cs="宋体"/>
                <w:color w:val="auto"/>
                <w:sz w:val="21"/>
                <w:szCs w:val="21"/>
              </w:rPr>
              <w:cr/>
            </w:r>
            <w:r>
              <w:rPr>
                <w:rFonts w:hint="eastAsia" w:ascii="宋体" w:hAnsi="宋体" w:cs="宋体"/>
                <w:color w:val="auto"/>
                <w:sz w:val="21"/>
                <w:szCs w:val="21"/>
              </w:rPr>
              <w:t>3、详细记录事件工单；</w:t>
            </w:r>
            <w:r>
              <w:rPr>
                <w:rFonts w:hint="eastAsia" w:ascii="宋体" w:hAnsi="宋体" w:cs="宋体"/>
                <w:color w:val="auto"/>
                <w:sz w:val="21"/>
                <w:szCs w:val="21"/>
              </w:rPr>
              <w:cr/>
            </w:r>
            <w:r>
              <w:rPr>
                <w:rFonts w:hint="eastAsia" w:ascii="宋体" w:hAnsi="宋体" w:cs="宋体"/>
                <w:color w:val="auto"/>
                <w:sz w:val="21"/>
                <w:szCs w:val="21"/>
              </w:rPr>
              <w:t>4、对重大故障及时上报，并在满足触发条件下，启动应急处理预案。</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90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6</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系统优化服务</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1、对设备系统运行状况进行分析，提供优化方案；</w:t>
            </w:r>
            <w:r>
              <w:rPr>
                <w:rFonts w:hint="eastAsia" w:ascii="宋体" w:hAnsi="宋体" w:cs="宋体"/>
                <w:color w:val="auto"/>
                <w:sz w:val="21"/>
                <w:szCs w:val="21"/>
              </w:rPr>
              <w:cr/>
            </w:r>
            <w:r>
              <w:rPr>
                <w:rFonts w:hint="eastAsia" w:ascii="宋体" w:hAnsi="宋体" w:cs="宋体"/>
                <w:color w:val="auto"/>
                <w:sz w:val="21"/>
                <w:szCs w:val="21"/>
              </w:rPr>
              <w:t>2、根据咨询服务中的合理化建议，制定实施方案；</w:t>
            </w:r>
            <w:r>
              <w:rPr>
                <w:rFonts w:hint="eastAsia" w:ascii="宋体" w:hAnsi="宋体" w:cs="宋体"/>
                <w:color w:val="auto"/>
                <w:sz w:val="21"/>
                <w:szCs w:val="21"/>
              </w:rPr>
              <w:cr/>
            </w:r>
            <w:r>
              <w:rPr>
                <w:rFonts w:hint="eastAsia" w:ascii="宋体" w:hAnsi="宋体" w:cs="宋体"/>
                <w:color w:val="auto"/>
                <w:sz w:val="21"/>
                <w:szCs w:val="21"/>
              </w:rPr>
              <w:t>3、对评审通过的优化方案，进行实施；</w:t>
            </w:r>
            <w:r>
              <w:rPr>
                <w:rFonts w:hint="eastAsia" w:ascii="宋体" w:hAnsi="宋体" w:cs="宋体"/>
                <w:color w:val="auto"/>
                <w:sz w:val="21"/>
                <w:szCs w:val="21"/>
              </w:rPr>
              <w:cr/>
            </w:r>
            <w:r>
              <w:rPr>
                <w:rFonts w:hint="eastAsia" w:ascii="宋体" w:hAnsi="宋体" w:cs="宋体"/>
                <w:color w:val="auto"/>
                <w:sz w:val="21"/>
                <w:szCs w:val="21"/>
              </w:rPr>
              <w:t>4、对优化后的效果进行跟踪，确保达到优化目标。</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480"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7</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系统安全服务</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1、根据第三方的安全整改方案，对系统进行安全加固；</w:t>
            </w:r>
            <w:r>
              <w:rPr>
                <w:rFonts w:hint="eastAsia" w:ascii="宋体" w:hAnsi="宋体" w:cs="宋体"/>
                <w:color w:val="auto"/>
                <w:sz w:val="21"/>
                <w:szCs w:val="21"/>
              </w:rPr>
              <w:cr/>
            </w:r>
            <w:r>
              <w:rPr>
                <w:rFonts w:hint="eastAsia" w:ascii="宋体" w:hAnsi="宋体" w:cs="宋体"/>
                <w:color w:val="auto"/>
                <w:sz w:val="21"/>
                <w:szCs w:val="21"/>
              </w:rPr>
              <w:t>2、及时更新系统补丁，对系统存在的安全隐患和安全漏洞进行修复。</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325" w:type="pct"/>
            <w:tcBorders>
              <w:top w:val="nil"/>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8</w:t>
            </w:r>
          </w:p>
        </w:tc>
        <w:tc>
          <w:tcPr>
            <w:tcW w:w="646"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应急保障服务</w:t>
            </w:r>
          </w:p>
        </w:tc>
        <w:tc>
          <w:tcPr>
            <w:tcW w:w="1754" w:type="pct"/>
            <w:tcBorders>
              <w:top w:val="nil"/>
              <w:left w:val="nil"/>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1、定期完善应急预案；（每年1次）</w:t>
            </w:r>
            <w:r>
              <w:rPr>
                <w:rFonts w:hint="eastAsia" w:ascii="宋体" w:hAnsi="宋体" w:cs="宋体"/>
                <w:color w:val="auto"/>
                <w:sz w:val="21"/>
                <w:szCs w:val="21"/>
              </w:rPr>
              <w:cr/>
            </w:r>
            <w:r>
              <w:rPr>
                <w:rFonts w:hint="eastAsia" w:ascii="宋体" w:hAnsi="宋体" w:cs="宋体"/>
                <w:color w:val="auto"/>
                <w:sz w:val="21"/>
                <w:szCs w:val="21"/>
              </w:rPr>
              <w:t>2、提供应急演练脚本；（每年1次）</w:t>
            </w:r>
            <w:r>
              <w:rPr>
                <w:rFonts w:hint="eastAsia" w:ascii="宋体" w:hAnsi="宋体" w:cs="宋体"/>
                <w:color w:val="auto"/>
                <w:sz w:val="21"/>
                <w:szCs w:val="21"/>
              </w:rPr>
              <w:cr/>
            </w:r>
            <w:r>
              <w:rPr>
                <w:rFonts w:hint="eastAsia" w:ascii="宋体" w:hAnsi="宋体" w:cs="宋体"/>
                <w:color w:val="auto"/>
                <w:sz w:val="21"/>
                <w:szCs w:val="21"/>
              </w:rPr>
              <w:t>3、提供重要时期技术、人力保障；（结息日）。</w:t>
            </w:r>
          </w:p>
        </w:tc>
        <w:tc>
          <w:tcPr>
            <w:tcW w:w="928"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nil"/>
              <w:left w:val="nil"/>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32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9</w:t>
            </w:r>
          </w:p>
        </w:tc>
        <w:tc>
          <w:tcPr>
            <w:tcW w:w="646"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文档管理服务</w:t>
            </w:r>
          </w:p>
        </w:tc>
        <w:tc>
          <w:tcPr>
            <w:tcW w:w="1754" w:type="pct"/>
            <w:tcBorders>
              <w:top w:val="single" w:color="auto" w:sz="4" w:space="0"/>
              <w:left w:val="single" w:color="auto" w:sz="4" w:space="0"/>
              <w:bottom w:val="single" w:color="auto" w:sz="4" w:space="0"/>
              <w:right w:val="single" w:color="auto" w:sz="4" w:space="0"/>
            </w:tcBorders>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1、完善《系统维护手册》</w:t>
            </w:r>
            <w:r>
              <w:rPr>
                <w:rFonts w:hint="eastAsia" w:ascii="宋体" w:hAnsi="宋体" w:cs="宋体"/>
                <w:color w:val="auto"/>
                <w:sz w:val="21"/>
                <w:szCs w:val="21"/>
              </w:rPr>
              <w:cr/>
            </w:r>
            <w:r>
              <w:rPr>
                <w:rFonts w:hint="eastAsia" w:ascii="宋体" w:hAnsi="宋体" w:cs="宋体"/>
                <w:color w:val="auto"/>
                <w:sz w:val="21"/>
                <w:szCs w:val="21"/>
              </w:rPr>
              <w:t>2、提供《运维服务记录表》</w:t>
            </w:r>
            <w:r>
              <w:rPr>
                <w:rFonts w:hint="eastAsia" w:ascii="宋体" w:hAnsi="宋体" w:cs="宋体"/>
                <w:color w:val="auto"/>
                <w:sz w:val="21"/>
                <w:szCs w:val="21"/>
              </w:rPr>
              <w:cr/>
            </w:r>
            <w:r>
              <w:rPr>
                <w:rFonts w:hint="eastAsia" w:ascii="宋体" w:hAnsi="宋体" w:cs="宋体"/>
                <w:color w:val="auto"/>
                <w:sz w:val="21"/>
                <w:szCs w:val="21"/>
              </w:rPr>
              <w:t>3、提供《运维服务报告》（每月2日前）4、《资产清单》等文档记录（每周更新）。</w:t>
            </w:r>
          </w:p>
        </w:tc>
        <w:tc>
          <w:tcPr>
            <w:tcW w:w="928"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32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10</w:t>
            </w:r>
          </w:p>
        </w:tc>
        <w:tc>
          <w:tcPr>
            <w:tcW w:w="646"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安全扫描</w:t>
            </w:r>
          </w:p>
        </w:tc>
        <w:tc>
          <w:tcPr>
            <w:tcW w:w="1754"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对最终用户的机房提供漏扫服务，并且督促对应的服务商整改，每月一次。</w:t>
            </w:r>
          </w:p>
        </w:tc>
        <w:tc>
          <w:tcPr>
            <w:tcW w:w="928"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每月</w:t>
            </w:r>
          </w:p>
        </w:tc>
        <w:tc>
          <w:tcPr>
            <w:tcW w:w="134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客户服务满意度≥94%</w:t>
            </w:r>
            <w:r>
              <w:rPr>
                <w:rFonts w:hint="eastAsia" w:ascii="宋体" w:hAnsi="宋体" w:cs="宋体"/>
                <w:color w:val="auto"/>
                <w:sz w:val="21"/>
                <w:szCs w:val="21"/>
              </w:rPr>
              <w:cr/>
            </w:r>
            <w:r>
              <w:rPr>
                <w:rFonts w:hint="eastAsia" w:ascii="宋体" w:hAnsi="宋体" w:cs="宋体"/>
                <w:color w:val="auto"/>
                <w:sz w:val="21"/>
                <w:szCs w:val="21"/>
              </w:rPr>
              <w:t>运维事件关闭率≥80%</w:t>
            </w:r>
          </w:p>
        </w:tc>
      </w:tr>
      <w:tr>
        <w:tblPrEx>
          <w:tblCellMar>
            <w:top w:w="0" w:type="dxa"/>
            <w:left w:w="108" w:type="dxa"/>
            <w:bottom w:w="0" w:type="dxa"/>
            <w:right w:w="108" w:type="dxa"/>
          </w:tblCellMar>
        </w:tblPrEx>
        <w:trPr>
          <w:trHeight w:val="675" w:hRule="atLeast"/>
        </w:trPr>
        <w:tc>
          <w:tcPr>
            <w:tcW w:w="32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11</w:t>
            </w:r>
          </w:p>
        </w:tc>
        <w:tc>
          <w:tcPr>
            <w:tcW w:w="646"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网络</w:t>
            </w:r>
          </w:p>
        </w:tc>
        <w:tc>
          <w:tcPr>
            <w:tcW w:w="1754"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机房网络管理，保持网络畅通。</w:t>
            </w:r>
          </w:p>
        </w:tc>
        <w:tc>
          <w:tcPr>
            <w:tcW w:w="928"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不小于1名技术人员每周2天5×8驻场</w:t>
            </w:r>
          </w:p>
        </w:tc>
        <w:tc>
          <w:tcPr>
            <w:tcW w:w="134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r>
      <w:tr>
        <w:tblPrEx>
          <w:tblCellMar>
            <w:top w:w="0" w:type="dxa"/>
            <w:left w:w="108" w:type="dxa"/>
            <w:bottom w:w="0" w:type="dxa"/>
            <w:right w:w="108" w:type="dxa"/>
          </w:tblCellMar>
        </w:tblPrEx>
        <w:trPr>
          <w:trHeight w:val="675" w:hRule="atLeast"/>
        </w:trPr>
        <w:tc>
          <w:tcPr>
            <w:tcW w:w="32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12</w:t>
            </w:r>
          </w:p>
        </w:tc>
        <w:tc>
          <w:tcPr>
            <w:tcW w:w="646"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其他</w:t>
            </w:r>
          </w:p>
        </w:tc>
        <w:tc>
          <w:tcPr>
            <w:tcW w:w="1754"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完成用户交办的其他事情。</w:t>
            </w:r>
          </w:p>
        </w:tc>
        <w:tc>
          <w:tcPr>
            <w:tcW w:w="928"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c>
          <w:tcPr>
            <w:tcW w:w="1345" w:type="pct"/>
            <w:tcBorders>
              <w:top w:val="single" w:color="auto" w:sz="4" w:space="0"/>
              <w:left w:val="single" w:color="auto" w:sz="4" w:space="0"/>
              <w:bottom w:val="single" w:color="auto" w:sz="4" w:space="0"/>
              <w:right w:val="single" w:color="auto" w:sz="4" w:space="0"/>
            </w:tcBorders>
            <w:vAlign w:val="center"/>
          </w:tcPr>
          <w:p>
            <w:pPr>
              <w:tabs>
                <w:tab w:val="left" w:pos="0"/>
              </w:tabs>
              <w:spacing w:line="240" w:lineRule="auto"/>
              <w:ind w:firstLine="0" w:firstLineChars="0"/>
              <w:rPr>
                <w:rFonts w:ascii="宋体" w:hAnsi="宋体" w:cs="宋体"/>
                <w:color w:val="auto"/>
                <w:sz w:val="21"/>
                <w:szCs w:val="21"/>
              </w:rPr>
            </w:pPr>
          </w:p>
        </w:tc>
      </w:tr>
    </w:tbl>
    <w:p>
      <w:pPr>
        <w:widowControl/>
        <w:adjustRightInd w:val="0"/>
        <w:snapToGrid w:val="0"/>
        <w:ind w:firstLine="0" w:firstLineChars="0"/>
        <w:rPr>
          <w:color w:val="0070C0"/>
          <w:szCs w:val="24"/>
        </w:rPr>
      </w:pPr>
    </w:p>
    <w:p>
      <w:pPr>
        <w:keepNext w:val="0"/>
        <w:keepLines w:val="0"/>
        <w:pageBreakBefore w:val="0"/>
        <w:widowControl/>
        <w:numPr>
          <w:ilvl w:val="0"/>
          <w:numId w:val="14"/>
        </w:numPr>
        <w:kinsoku/>
        <w:wordWrap/>
        <w:overflowPunct/>
        <w:topLinePunct w:val="0"/>
        <w:autoSpaceDE/>
        <w:autoSpaceDN/>
        <w:bidi w:val="0"/>
        <w:adjustRightInd w:val="0"/>
        <w:snapToGrid w:val="0"/>
        <w:spacing w:line="360" w:lineRule="auto"/>
        <w:ind w:left="0" w:firstLine="420" w:firstLineChars="200"/>
        <w:textAlignment w:val="auto"/>
        <w:rPr>
          <w:color w:val="auto"/>
          <w:szCs w:val="24"/>
        </w:rPr>
      </w:pPr>
      <w:r>
        <w:rPr>
          <w:rFonts w:hint="eastAsia"/>
          <w:color w:val="auto"/>
          <w:szCs w:val="24"/>
        </w:rPr>
        <w:t>质量目标</w:t>
      </w:r>
    </w:p>
    <w:tbl>
      <w:tblPr>
        <w:tblStyle w:val="18"/>
        <w:tblW w:w="5000" w:type="pct"/>
        <w:tblInd w:w="0" w:type="dxa"/>
        <w:tblLayout w:type="autofit"/>
        <w:tblCellMar>
          <w:top w:w="0" w:type="dxa"/>
          <w:left w:w="108" w:type="dxa"/>
          <w:bottom w:w="0" w:type="dxa"/>
          <w:right w:w="108" w:type="dxa"/>
        </w:tblCellMar>
      </w:tblPr>
      <w:tblGrid>
        <w:gridCol w:w="9174"/>
      </w:tblGrid>
      <w:tr>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ascii="宋体" w:hAnsi="宋体" w:cs="宋体"/>
                <w:color w:val="auto"/>
                <w:kern w:val="0"/>
                <w:sz w:val="21"/>
                <w:szCs w:val="21"/>
              </w:rPr>
            </w:pPr>
            <w:r>
              <w:rPr>
                <w:rFonts w:hint="eastAsia" w:ascii="宋体" w:hAnsi="宋体" w:cs="宋体"/>
                <w:color w:val="auto"/>
                <w:kern w:val="0"/>
                <w:sz w:val="21"/>
                <w:szCs w:val="21"/>
              </w:rPr>
              <w:t>1.客户服务满意度：大于94%</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ascii="宋体" w:hAnsi="宋体" w:cs="宋体"/>
                <w:color w:val="auto"/>
                <w:kern w:val="0"/>
                <w:sz w:val="21"/>
                <w:szCs w:val="21"/>
              </w:rPr>
            </w:pPr>
            <w:r>
              <w:rPr>
                <w:rFonts w:hint="eastAsia" w:ascii="宋体" w:hAnsi="宋体" w:cs="宋体"/>
                <w:color w:val="auto"/>
                <w:kern w:val="0"/>
                <w:sz w:val="21"/>
                <w:szCs w:val="21"/>
              </w:rPr>
              <w:t>2.系统月最大中断时间：小于20分钟</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ascii="宋体" w:hAnsi="宋体" w:cs="宋体"/>
                <w:color w:val="auto"/>
                <w:kern w:val="0"/>
                <w:sz w:val="21"/>
                <w:szCs w:val="21"/>
              </w:rPr>
            </w:pPr>
            <w:r>
              <w:rPr>
                <w:rFonts w:hint="eastAsia" w:ascii="宋体" w:hAnsi="宋体" w:cs="宋体"/>
                <w:color w:val="auto"/>
                <w:kern w:val="0"/>
                <w:sz w:val="21"/>
                <w:szCs w:val="21"/>
              </w:rPr>
              <w:t>3.服务请求响应及时率：大于98%</w:t>
            </w:r>
          </w:p>
        </w:tc>
      </w:tr>
      <w:tr>
        <w:tblPrEx>
          <w:tblCellMar>
            <w:top w:w="0" w:type="dxa"/>
            <w:left w:w="108" w:type="dxa"/>
            <w:bottom w:w="0" w:type="dxa"/>
            <w:right w:w="108" w:type="dxa"/>
          </w:tblCellMar>
        </w:tblPrEx>
        <w:trPr>
          <w:trHeight w:val="375" w:hRule="atLeast"/>
        </w:trPr>
        <w:tc>
          <w:tcPr>
            <w:tcW w:w="5000" w:type="pct"/>
            <w:tcBorders>
              <w:top w:val="single" w:color="auto" w:sz="4" w:space="0"/>
              <w:left w:val="single" w:color="auto" w:sz="4" w:space="0"/>
              <w:bottom w:val="single" w:color="auto" w:sz="4" w:space="0"/>
              <w:right w:val="single" w:color="000000" w:sz="4" w:space="0"/>
            </w:tcBorders>
            <w:noWrap/>
            <w:vAlign w:val="center"/>
          </w:tcPr>
          <w:p>
            <w:pPr>
              <w:widowControl/>
              <w:ind w:firstLine="0" w:firstLineChars="0"/>
              <w:jc w:val="left"/>
              <w:rPr>
                <w:rFonts w:ascii="宋体" w:hAnsi="宋体" w:cs="宋体"/>
                <w:color w:val="auto"/>
                <w:kern w:val="0"/>
                <w:sz w:val="21"/>
                <w:szCs w:val="21"/>
              </w:rPr>
            </w:pPr>
            <w:r>
              <w:rPr>
                <w:rFonts w:hint="eastAsia" w:ascii="宋体" w:hAnsi="宋体" w:cs="宋体"/>
                <w:color w:val="auto"/>
                <w:kern w:val="0"/>
                <w:sz w:val="21"/>
                <w:szCs w:val="21"/>
              </w:rPr>
              <w:t>4.运维事件关闭率：大于80%</w:t>
            </w:r>
          </w:p>
        </w:tc>
      </w:tr>
    </w:tbl>
    <w:p>
      <w:pPr>
        <w:widowControl/>
        <w:adjustRightInd w:val="0"/>
        <w:snapToGrid w:val="0"/>
        <w:spacing w:line="360" w:lineRule="auto"/>
        <w:ind w:firstLine="480"/>
        <w:rPr>
          <w:color w:val="0070C0"/>
          <w:szCs w:val="24"/>
        </w:rPr>
      </w:pPr>
    </w:p>
    <w:p>
      <w:pPr>
        <w:keepNext w:val="0"/>
        <w:keepLines w:val="0"/>
        <w:pageBreakBefore w:val="0"/>
        <w:widowControl/>
        <w:numPr>
          <w:ilvl w:val="0"/>
          <w:numId w:val="14"/>
        </w:numPr>
        <w:kinsoku/>
        <w:wordWrap/>
        <w:overflowPunct/>
        <w:topLinePunct w:val="0"/>
        <w:autoSpaceDE/>
        <w:autoSpaceDN/>
        <w:bidi w:val="0"/>
        <w:adjustRightInd w:val="0"/>
        <w:snapToGrid w:val="0"/>
        <w:spacing w:line="360" w:lineRule="auto"/>
        <w:ind w:left="0" w:firstLine="420" w:firstLineChars="200"/>
        <w:textAlignment w:val="auto"/>
        <w:rPr>
          <w:color w:val="auto"/>
          <w:szCs w:val="24"/>
        </w:rPr>
      </w:pPr>
      <w:r>
        <w:rPr>
          <w:rFonts w:hint="eastAsia"/>
          <w:color w:val="auto"/>
          <w:szCs w:val="24"/>
        </w:rPr>
        <w:t>支撑方式</w:t>
      </w:r>
    </w:p>
    <w:tbl>
      <w:tblPr>
        <w:tblStyle w:val="18"/>
        <w:tblW w:w="4998"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03"/>
        <w:gridCol w:w="1297"/>
        <w:gridCol w:w="5764"/>
        <w:gridCol w:w="1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1" w:hRule="atLeast"/>
          <w:tblHeader/>
        </w:trPr>
        <w:tc>
          <w:tcPr>
            <w:tcW w:w="443" w:type="pct"/>
            <w:vAlign w:val="center"/>
          </w:tcPr>
          <w:p>
            <w:pPr>
              <w:adjustRightInd w:val="0"/>
              <w:snapToGrid w:val="0"/>
              <w:spacing w:line="240" w:lineRule="auto"/>
              <w:ind w:firstLine="0" w:firstLineChars="0"/>
              <w:jc w:val="center"/>
              <w:rPr>
                <w:rFonts w:ascii="宋体" w:hAnsi="宋体" w:cs="宋体"/>
                <w:bCs/>
                <w:color w:val="auto"/>
                <w:sz w:val="21"/>
                <w:szCs w:val="21"/>
              </w:rPr>
            </w:pPr>
            <w:r>
              <w:rPr>
                <w:rFonts w:hint="eastAsia" w:ascii="宋体" w:hAnsi="宋体" w:cs="宋体"/>
                <w:bCs/>
                <w:color w:val="auto"/>
                <w:sz w:val="21"/>
                <w:szCs w:val="21"/>
              </w:rPr>
              <w:t>编号</w:t>
            </w:r>
          </w:p>
        </w:tc>
        <w:tc>
          <w:tcPr>
            <w:tcW w:w="715" w:type="pct"/>
            <w:vAlign w:val="center"/>
          </w:tcPr>
          <w:p>
            <w:pPr>
              <w:adjustRightInd w:val="0"/>
              <w:snapToGrid w:val="0"/>
              <w:spacing w:line="240" w:lineRule="auto"/>
              <w:ind w:firstLine="0" w:firstLineChars="0"/>
              <w:jc w:val="center"/>
              <w:rPr>
                <w:rFonts w:ascii="宋体" w:hAnsi="宋体" w:cs="宋体"/>
                <w:bCs/>
                <w:color w:val="auto"/>
                <w:sz w:val="21"/>
                <w:szCs w:val="21"/>
              </w:rPr>
            </w:pPr>
            <w:r>
              <w:rPr>
                <w:rFonts w:hint="eastAsia" w:ascii="宋体" w:hAnsi="宋体" w:cs="宋体"/>
                <w:bCs/>
                <w:color w:val="auto"/>
                <w:sz w:val="21"/>
                <w:szCs w:val="21"/>
              </w:rPr>
              <w:t>服务项目</w:t>
            </w:r>
          </w:p>
        </w:tc>
        <w:tc>
          <w:tcPr>
            <w:tcW w:w="3178" w:type="pct"/>
            <w:vAlign w:val="center"/>
          </w:tcPr>
          <w:p>
            <w:pPr>
              <w:adjustRightInd w:val="0"/>
              <w:snapToGrid w:val="0"/>
              <w:spacing w:line="240" w:lineRule="auto"/>
              <w:ind w:firstLine="0" w:firstLineChars="0"/>
              <w:jc w:val="center"/>
              <w:rPr>
                <w:rFonts w:ascii="宋体" w:hAnsi="宋体" w:cs="宋体"/>
                <w:bCs/>
                <w:color w:val="auto"/>
                <w:sz w:val="21"/>
                <w:szCs w:val="21"/>
              </w:rPr>
            </w:pPr>
            <w:r>
              <w:rPr>
                <w:rFonts w:hint="eastAsia" w:ascii="宋体" w:hAnsi="宋体" w:cs="宋体"/>
                <w:bCs/>
                <w:color w:val="auto"/>
                <w:sz w:val="21"/>
                <w:szCs w:val="21"/>
              </w:rPr>
              <w:t>服务内容</w:t>
            </w:r>
          </w:p>
        </w:tc>
        <w:tc>
          <w:tcPr>
            <w:tcW w:w="662" w:type="pct"/>
            <w:vAlign w:val="center"/>
          </w:tcPr>
          <w:p>
            <w:pPr>
              <w:adjustRightInd w:val="0"/>
              <w:snapToGrid w:val="0"/>
              <w:spacing w:line="240" w:lineRule="auto"/>
              <w:ind w:firstLine="0" w:firstLineChars="0"/>
              <w:jc w:val="center"/>
              <w:rPr>
                <w:rFonts w:ascii="宋体" w:hAnsi="宋体" w:cs="宋体"/>
                <w:bCs/>
                <w:color w:val="auto"/>
                <w:sz w:val="21"/>
                <w:szCs w:val="21"/>
              </w:rPr>
            </w:pPr>
            <w:r>
              <w:rPr>
                <w:rFonts w:hint="eastAsia" w:ascii="宋体" w:hAnsi="宋体" w:cs="宋体"/>
                <w:bCs/>
                <w:color w:val="auto"/>
                <w:sz w:val="21"/>
                <w:szCs w:val="21"/>
              </w:rPr>
              <w:t>服务时间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43" w:type="pct"/>
            <w:vAlign w:val="center"/>
          </w:tcPr>
          <w:p>
            <w:pPr>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1</w:t>
            </w:r>
          </w:p>
        </w:tc>
        <w:tc>
          <w:tcPr>
            <w:tcW w:w="715" w:type="pct"/>
            <w:vAlign w:val="center"/>
          </w:tcPr>
          <w:p>
            <w:pPr>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远程支持</w:t>
            </w:r>
          </w:p>
        </w:tc>
        <w:tc>
          <w:tcPr>
            <w:tcW w:w="3178" w:type="pct"/>
            <w:vAlign w:val="center"/>
          </w:tcPr>
          <w:p>
            <w:pPr>
              <w:adjustRightInd w:val="0"/>
              <w:snapToGrid w:val="0"/>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在维护协议有效期限内，最终用户将获得电话支持，由中选供应商公司资深工程师提供技术服务，进行技术咨询，故障分析，远程诊断，并对严重问题迅速升级，包括将问题升级到专家组或派遣原厂工程师迅速到达现场。电话支持服务为每周7天，每天24小时。</w:t>
            </w:r>
          </w:p>
        </w:tc>
        <w:tc>
          <w:tcPr>
            <w:tcW w:w="662" w:type="pct"/>
            <w:vAlign w:val="center"/>
          </w:tcPr>
          <w:p>
            <w:pPr>
              <w:widowControl/>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7天×24小时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43" w:type="pct"/>
            <w:vAlign w:val="center"/>
          </w:tcPr>
          <w:p>
            <w:pPr>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2</w:t>
            </w:r>
          </w:p>
        </w:tc>
        <w:tc>
          <w:tcPr>
            <w:tcW w:w="715" w:type="pct"/>
            <w:vAlign w:val="center"/>
          </w:tcPr>
          <w:p>
            <w:pPr>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现场支持</w:t>
            </w:r>
          </w:p>
        </w:tc>
        <w:tc>
          <w:tcPr>
            <w:tcW w:w="3178" w:type="pct"/>
            <w:vAlign w:val="center"/>
          </w:tcPr>
          <w:p>
            <w:pPr>
              <w:adjustRightInd w:val="0"/>
              <w:snapToGrid w:val="0"/>
              <w:spacing w:line="240" w:lineRule="auto"/>
              <w:ind w:firstLine="0" w:firstLineChars="0"/>
              <w:rPr>
                <w:rFonts w:ascii="宋体" w:hAnsi="宋体" w:cs="宋体"/>
                <w:color w:val="auto"/>
                <w:sz w:val="21"/>
                <w:szCs w:val="21"/>
              </w:rPr>
            </w:pPr>
            <w:r>
              <w:rPr>
                <w:rFonts w:hint="eastAsia" w:ascii="宋体" w:hAnsi="宋体" w:cs="宋体"/>
                <w:color w:val="auto"/>
                <w:sz w:val="21"/>
                <w:szCs w:val="21"/>
              </w:rPr>
              <w:t>对于客户IT系统突发性的故障或突发性的性能下降，中选供应商公司需要求原厂工程师将根据与客户协商确认的服务级别和故障紧急程度，在规定时间内到达现场，排除故障，响应支持服务时间为每周7天，每天24小时。1.软件安装服务2.软件升级的规划和实施3.系统的重新规划4.现场问题的诊断及分析5.实施问题的解决方案6.现场培训实施7.系统性能诊断和性能调整8.IT基础设备系统咨询服务9.硬件系统运维支持服务。</w:t>
            </w:r>
          </w:p>
        </w:tc>
        <w:tc>
          <w:tcPr>
            <w:tcW w:w="662" w:type="pct"/>
            <w:vAlign w:val="center"/>
          </w:tcPr>
          <w:p>
            <w:pPr>
              <w:widowControl/>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7天×24小时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4" w:hRule="atLeast"/>
        </w:trPr>
        <w:tc>
          <w:tcPr>
            <w:tcW w:w="443" w:type="pct"/>
            <w:vAlign w:val="center"/>
          </w:tcPr>
          <w:p>
            <w:pPr>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3</w:t>
            </w:r>
          </w:p>
        </w:tc>
        <w:tc>
          <w:tcPr>
            <w:tcW w:w="715" w:type="pct"/>
            <w:vAlign w:val="center"/>
          </w:tcPr>
          <w:p>
            <w:pPr>
              <w:spacing w:line="240" w:lineRule="auto"/>
              <w:ind w:firstLine="0" w:firstLineChars="0"/>
              <w:jc w:val="left"/>
              <w:rPr>
                <w:rFonts w:ascii="宋体" w:hAnsi="宋体" w:cs="宋体"/>
                <w:color w:val="auto"/>
                <w:sz w:val="21"/>
                <w:szCs w:val="21"/>
              </w:rPr>
            </w:pPr>
            <w:r>
              <w:rPr>
                <w:rFonts w:hint="eastAsia" w:ascii="宋体" w:hAnsi="宋体" w:cs="宋体"/>
                <w:color w:val="auto"/>
                <w:sz w:val="21"/>
                <w:szCs w:val="21"/>
              </w:rPr>
              <w:t>驻场支持</w:t>
            </w:r>
          </w:p>
        </w:tc>
        <w:tc>
          <w:tcPr>
            <w:tcW w:w="3178" w:type="pct"/>
            <w:vAlign w:val="center"/>
          </w:tcPr>
          <w:p>
            <w:pPr>
              <w:adjustRightInd w:val="0"/>
              <w:snapToGrid w:val="0"/>
              <w:spacing w:line="240" w:lineRule="auto"/>
              <w:ind w:firstLine="0" w:firstLineChars="0"/>
              <w:rPr>
                <w:rFonts w:ascii="宋体" w:hAnsi="宋体" w:cs="宋体"/>
                <w:color w:val="auto"/>
                <w:sz w:val="21"/>
                <w:szCs w:val="21"/>
              </w:rPr>
            </w:pPr>
            <w:r>
              <w:rPr>
                <w:rFonts w:hint="eastAsia" w:ascii="宋体" w:hAnsi="宋体" w:cs="宋体"/>
                <w:color w:val="auto"/>
                <w:sz w:val="21"/>
                <w:szCs w:val="21"/>
              </w:rPr>
              <w:t>根据用户需求，需要保障至少一人可以到用户指定地点驻场运维。完成用户分配的其他工作。</w:t>
            </w:r>
          </w:p>
        </w:tc>
        <w:tc>
          <w:tcPr>
            <w:tcW w:w="662" w:type="pct"/>
            <w:vAlign w:val="center"/>
          </w:tcPr>
          <w:p>
            <w:pPr>
              <w:widowControl/>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5天×8小时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6" w:hRule="atLeast"/>
        </w:trPr>
        <w:tc>
          <w:tcPr>
            <w:tcW w:w="5000" w:type="pct"/>
            <w:gridSpan w:val="4"/>
            <w:vAlign w:val="center"/>
          </w:tcPr>
          <w:p>
            <w:pPr>
              <w:widowControl/>
              <w:adjustRightInd w:val="0"/>
              <w:snapToGrid w:val="0"/>
              <w:spacing w:line="240" w:lineRule="auto"/>
              <w:ind w:firstLine="0" w:firstLineChars="0"/>
              <w:jc w:val="center"/>
              <w:rPr>
                <w:rFonts w:ascii="宋体" w:hAnsi="宋体" w:cs="宋体"/>
                <w:color w:val="auto"/>
                <w:sz w:val="21"/>
                <w:szCs w:val="21"/>
              </w:rPr>
            </w:pPr>
            <w:r>
              <w:rPr>
                <w:rFonts w:hint="eastAsia" w:ascii="宋体" w:hAnsi="宋体" w:cs="宋体"/>
                <w:color w:val="auto"/>
                <w:sz w:val="21"/>
                <w:szCs w:val="21"/>
              </w:rPr>
              <w:t>总计</w:t>
            </w:r>
          </w:p>
        </w:tc>
      </w:tr>
    </w:tbl>
    <w:p>
      <w:pPr>
        <w:keepNext w:val="0"/>
        <w:keepLines w:val="0"/>
        <w:pageBreakBefore w:val="0"/>
        <w:widowControl/>
        <w:numPr>
          <w:ilvl w:val="0"/>
          <w:numId w:val="14"/>
        </w:numPr>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color w:val="auto"/>
          <w:szCs w:val="24"/>
        </w:rPr>
      </w:pPr>
      <w:r>
        <w:rPr>
          <w:rFonts w:hint="eastAsia" w:ascii="宋体" w:hAnsi="宋体" w:eastAsia="宋体" w:cs="宋体"/>
          <w:color w:val="auto"/>
          <w:szCs w:val="24"/>
        </w:rPr>
        <w:t>支持服务报告</w:t>
      </w:r>
    </w:p>
    <w:p>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4"/>
        </w:rPr>
      </w:pPr>
      <w:r>
        <w:rPr>
          <w:rFonts w:hint="eastAsia" w:ascii="宋体" w:hAnsi="宋体" w:eastAsia="宋体" w:cs="宋体"/>
          <w:color w:val="auto"/>
          <w:szCs w:val="24"/>
        </w:rPr>
        <w:t>为使双方能及时获得实际的技术支持情况，中选供应商将定期提交服务报告（次月2个工作日内提供上月服务报告）。服务报告的应至少包括如下内容：</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5"/>
        <w:gridCol w:w="1404"/>
        <w:gridCol w:w="1826"/>
        <w:gridCol w:w="1686"/>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报告内容</w:t>
            </w:r>
          </w:p>
        </w:tc>
        <w:tc>
          <w:tcPr>
            <w:tcW w:w="765"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报告间隔</w:t>
            </w:r>
          </w:p>
        </w:tc>
        <w:tc>
          <w:tcPr>
            <w:tcW w:w="995"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报告递交方式</w:t>
            </w:r>
          </w:p>
        </w:tc>
        <w:tc>
          <w:tcPr>
            <w:tcW w:w="919"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报告人</w:t>
            </w:r>
          </w:p>
        </w:tc>
        <w:tc>
          <w:tcPr>
            <w:tcW w:w="866" w:type="pct"/>
            <w:shd w:val="clear" w:color="auto" w:fill="auto"/>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报告接受人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事件汇总报表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采购人联系人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客户满意度统计报表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采购人联系人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3"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工作量统计报表</w:t>
            </w:r>
          </w:p>
        </w:tc>
        <w:tc>
          <w:tcPr>
            <w:tcW w:w="76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一个月</w:t>
            </w:r>
          </w:p>
        </w:tc>
        <w:tc>
          <w:tcPr>
            <w:tcW w:w="995"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打印/电子版</w:t>
            </w:r>
          </w:p>
        </w:tc>
        <w:tc>
          <w:tcPr>
            <w:tcW w:w="919"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中选供应商联系人</w:t>
            </w:r>
          </w:p>
        </w:tc>
        <w:tc>
          <w:tcPr>
            <w:tcW w:w="866" w:type="pct"/>
            <w:vAlign w:val="center"/>
          </w:tcPr>
          <w:p>
            <w:pPr>
              <w:pStyle w:val="44"/>
              <w:widowControl/>
              <w:spacing w:before="60" w:after="0" w:line="240" w:lineRule="auto"/>
              <w:ind w:firstLine="0" w:firstLineChars="0"/>
              <w:rPr>
                <w:rFonts w:ascii="宋体" w:hAnsi="宋体" w:cs="宋体"/>
                <w:bCs/>
                <w:color w:val="auto"/>
                <w:sz w:val="21"/>
                <w:szCs w:val="21"/>
              </w:rPr>
            </w:pPr>
            <w:r>
              <w:rPr>
                <w:rFonts w:hint="eastAsia" w:ascii="宋体" w:hAnsi="宋体" w:cs="宋体"/>
                <w:bCs/>
                <w:color w:val="auto"/>
                <w:kern w:val="0"/>
                <w:sz w:val="21"/>
                <w:szCs w:val="21"/>
              </w:rPr>
              <w:t>采购人联系人</w:t>
            </w:r>
          </w:p>
        </w:tc>
      </w:tr>
    </w:tbl>
    <w:p>
      <w:pPr>
        <w:widowControl/>
        <w:adjustRightInd w:val="0"/>
        <w:snapToGrid w:val="0"/>
        <w:spacing w:line="240" w:lineRule="auto"/>
        <w:ind w:firstLine="0" w:firstLineChars="0"/>
        <w:rPr>
          <w:color w:val="0070C0"/>
          <w:sz w:val="21"/>
          <w:szCs w:val="21"/>
        </w:rPr>
      </w:pPr>
    </w:p>
    <w:p>
      <w:pPr>
        <w:pStyle w:val="4"/>
        <w:pageBreakBefore w:val="0"/>
        <w:widowControl w:val="0"/>
        <w:numPr>
          <w:ilvl w:val="1"/>
          <w:numId w:val="12"/>
        </w:numPr>
        <w:tabs>
          <w:tab w:val="left" w:pos="747"/>
        </w:tabs>
        <w:kinsoku/>
        <w:wordWrap/>
        <w:overflowPunct/>
        <w:topLinePunct w:val="0"/>
        <w:autoSpaceDE/>
        <w:autoSpaceDN/>
        <w:bidi w:val="0"/>
        <w:adjustRightInd/>
        <w:snapToGrid/>
        <w:spacing w:before="0" w:after="0" w:line="360" w:lineRule="auto"/>
        <w:ind w:firstLine="422" w:firstLineChars="200"/>
        <w:textAlignment w:val="auto"/>
        <w:rPr>
          <w:sz w:val="21"/>
          <w:szCs w:val="21"/>
        </w:rPr>
      </w:pPr>
      <w:r>
        <w:rPr>
          <w:rFonts w:hint="eastAsia"/>
          <w:sz w:val="21"/>
          <w:szCs w:val="21"/>
          <w:lang w:val="en-US"/>
        </w:rPr>
        <w:t>服务周期</w:t>
      </w:r>
    </w:p>
    <w:p>
      <w:pPr>
        <w:pStyle w:val="2"/>
        <w:pageBreakBefore w:val="0"/>
        <w:widowControl w:val="0"/>
        <w:kinsoku/>
        <w:wordWrap/>
        <w:overflowPunct/>
        <w:topLinePunct w:val="0"/>
        <w:autoSpaceDE/>
        <w:autoSpaceDN/>
        <w:bidi w:val="0"/>
        <w:adjustRightInd/>
        <w:snapToGrid/>
        <w:spacing w:after="0" w:line="360" w:lineRule="auto"/>
        <w:ind w:firstLine="420" w:firstLineChars="200"/>
        <w:textAlignment w:val="auto"/>
        <w:rPr>
          <w:color w:val="auto"/>
          <w:sz w:val="21"/>
          <w:szCs w:val="21"/>
        </w:rPr>
      </w:pPr>
      <w:r>
        <w:rPr>
          <w:rFonts w:hint="eastAsia"/>
          <w:color w:val="auto"/>
          <w:sz w:val="21"/>
          <w:szCs w:val="21"/>
        </w:rPr>
        <w:t>自项目合同签订生效后提供壹年的维护服务。</w:t>
      </w:r>
    </w:p>
    <w:bookmarkEnd w:id="100"/>
    <w:bookmarkEnd w:id="101"/>
    <w:bookmarkEnd w:id="102"/>
    <w:bookmarkEnd w:id="103"/>
    <w:bookmarkEnd w:id="104"/>
    <w:p>
      <w:pPr>
        <w:pStyle w:val="4"/>
        <w:pageBreakBefore w:val="0"/>
        <w:widowControl w:val="0"/>
        <w:numPr>
          <w:ilvl w:val="1"/>
          <w:numId w:val="12"/>
        </w:numPr>
        <w:tabs>
          <w:tab w:val="left" w:pos="747"/>
        </w:tabs>
        <w:kinsoku/>
        <w:wordWrap/>
        <w:overflowPunct/>
        <w:topLinePunct w:val="0"/>
        <w:autoSpaceDE/>
        <w:autoSpaceDN/>
        <w:bidi w:val="0"/>
        <w:adjustRightInd/>
        <w:snapToGrid/>
        <w:spacing w:before="0" w:after="0" w:line="360" w:lineRule="auto"/>
        <w:ind w:firstLine="422" w:firstLineChars="200"/>
        <w:textAlignment w:val="auto"/>
        <w:rPr>
          <w:sz w:val="21"/>
          <w:szCs w:val="21"/>
        </w:rPr>
      </w:pPr>
      <w:bookmarkStart w:id="106" w:name="_Toc27201"/>
      <w:r>
        <w:rPr>
          <w:rFonts w:hint="eastAsia"/>
          <w:sz w:val="21"/>
          <w:szCs w:val="21"/>
          <w:lang w:val="en-US"/>
        </w:rPr>
        <w:t>项目</w:t>
      </w:r>
      <w:bookmarkEnd w:id="106"/>
      <w:r>
        <w:rPr>
          <w:rFonts w:hint="eastAsia"/>
          <w:sz w:val="21"/>
          <w:szCs w:val="21"/>
          <w:lang w:val="en-US"/>
        </w:rPr>
        <w:t>运维服务设备清单</w:t>
      </w:r>
    </w:p>
    <w:tbl>
      <w:tblPr>
        <w:tblStyle w:val="18"/>
        <w:tblW w:w="0" w:type="auto"/>
        <w:tblInd w:w="0" w:type="dxa"/>
        <w:tblLayout w:type="autofit"/>
        <w:tblCellMar>
          <w:top w:w="0" w:type="dxa"/>
          <w:left w:w="108" w:type="dxa"/>
          <w:bottom w:w="0" w:type="dxa"/>
          <w:right w:w="108" w:type="dxa"/>
        </w:tblCellMar>
      </w:tblPr>
      <w:tblGrid>
        <w:gridCol w:w="636"/>
        <w:gridCol w:w="1266"/>
        <w:gridCol w:w="7272"/>
      </w:tblGrid>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Style w:val="46"/>
                <w:rFonts w:hint="default"/>
                <w:color w:val="auto"/>
                <w:sz w:val="21"/>
                <w:szCs w:val="21"/>
                <w:lang w:bidi="ar"/>
              </w:rPr>
              <w:t>*</w:t>
            </w:r>
            <w:r>
              <w:rPr>
                <w:rStyle w:val="47"/>
                <w:rFonts w:hint="default"/>
                <w:color w:val="auto"/>
                <w:sz w:val="21"/>
                <w:szCs w:val="21"/>
                <w:lang w:bidi="ar"/>
              </w:rPr>
              <w:t>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技术参数</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48端口16Gbps光纤交换机，激活48端口，含48个17Gb短波模块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48*10G、24*40G端口，配置48个万兆多模模块，4个40G多模模块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48*10G、24*40G端口，配置48个万兆多模模块，4个40G多模模块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100GE 光接口6个，10GE光端口数量48个，48个万兆多模模块，4个40G多模模块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100GE 光接口6个，10GE光端口数量48个，48个万兆多模模块，4个40G多模模块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100GE 光接口6个，10GE光端口数量48个，48个万兆多模模块，4个40G多模模块</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100GE 光接口6个，10GE光端口数量48个，48个万兆多模模块，4个40G多模模块</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网络设备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交换容量：4Tbps，包转发率：2000Mpps；48*10GE SFP+，6*100GE QSFP28，2*交流电源，4*风机盒，端口侧进风</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备份设备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2*Kunpeng 920 CPU， 32 Cores@2.6GHz；支持12个硬盘槽位，单槽位可支持4TB、6TB、 8TB、10TB硬盘，配置存储硬盘12*10TB=120TB，系统盘 2*240GB SSD；配置128GB RAM内存；配置2个千兆网络端口和2个万兆网络端口用于备份，网络端口都可用且可分配不同的备份任务；鼎甲备份系统支持国产主流的数据备份恢复，包括但不限于达梦(DM)、人大金仓（kingbase)、南大通用（GBase)、神舟通用(ShenTong)、瀚高（HighGoDB)、优炫(UXDB)等数据库。</w:t>
            </w:r>
          </w:p>
        </w:tc>
      </w:tr>
      <w:tr>
        <w:tblPrEx>
          <w:tblCellMar>
            <w:top w:w="0" w:type="dxa"/>
            <w:left w:w="108" w:type="dxa"/>
            <w:bottom w:w="0" w:type="dxa"/>
            <w:right w:w="108" w:type="dxa"/>
          </w:tblCellMar>
        </w:tblPrEx>
        <w:trPr>
          <w:trHeight w:val="23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备份设备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2*Kunpeng 920 CPU， 32 Cores@2.6GHz；支持12个硬盘槽位，单槽位可支持4TB、6TB、 8TB、10TB硬盘，配置存储硬盘12*10TB=120TB，系统盘 2*240GB SSD；配置128GB RAM内存；配置2个千兆网络端口和2个万兆网络端口用于备份，网络端口都可用且可分配不同的备份任务；鼎甲备份系统支持国产主流的数据备份恢复，包括但不限于达梦(DM)、人大金仓（kingbase)、南大通用（GBase)、神舟通用(ShenTong)、瀚高（HighGoDB)、优炫(UXDB)等数据库。</w:t>
            </w:r>
          </w:p>
        </w:tc>
      </w:tr>
      <w:tr>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24块NL SAS 14TB 7.2K RPM NL SAS硬盘单元(3.5")</w:t>
            </w:r>
          </w:p>
        </w:tc>
      </w:tr>
      <w:tr>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24块NL SAS 14TB 7.2K RPM NL SAS硬盘单元(3.5")</w:t>
            </w:r>
          </w:p>
        </w:tc>
      </w:tr>
      <w:tr>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24块NL SAS 14TB 7.2K RPM NL SAS硬盘单元(3.5")</w:t>
            </w:r>
          </w:p>
        </w:tc>
      </w:tr>
      <w:tr>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24块NL SAS 14TB 7.2K RPM NL SAS硬盘单元(3.5")</w:t>
            </w:r>
          </w:p>
        </w:tc>
      </w:tr>
      <w:tr>
        <w:tblPrEx>
          <w:tblCellMar>
            <w:top w:w="0" w:type="dxa"/>
            <w:left w:w="108" w:type="dxa"/>
            <w:bottom w:w="0" w:type="dxa"/>
            <w:right w:w="108" w:type="dxa"/>
          </w:tblCellMar>
        </w:tblPrEx>
        <w:trPr>
          <w:trHeight w:val="5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14块NL SAS 14TB 7.2K RPM NL SAS硬盘单元(3.5")</w:t>
            </w:r>
          </w:p>
        </w:tc>
      </w:tr>
      <w:tr>
        <w:tblPrEx>
          <w:tblCellMar>
            <w:top w:w="0" w:type="dxa"/>
            <w:left w:w="108" w:type="dxa"/>
            <w:bottom w:w="0" w:type="dxa"/>
            <w:right w:w="108" w:type="dxa"/>
          </w:tblCellMar>
        </w:tblPrEx>
        <w:trPr>
          <w:trHeight w:val="10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2颗处理器，内存容量128G，实配2块480G系统硬盘，2块1T SSD缓存硬盘；4个10G光口，4个10G多模光模块，2个1G电口</w:t>
            </w:r>
          </w:p>
        </w:tc>
      </w:tr>
      <w:tr>
        <w:tblPrEx>
          <w:tblCellMar>
            <w:top w:w="0" w:type="dxa"/>
            <w:left w:w="108" w:type="dxa"/>
            <w:bottom w:w="0" w:type="dxa"/>
            <w:right w:w="108" w:type="dxa"/>
          </w:tblCellMar>
        </w:tblPrEx>
        <w:trPr>
          <w:trHeight w:val="9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2颗处理器，内存容量128G，实配2块480G系统硬盘，2块1T SSD缓存硬盘；4个10G光口，4个10G多模光模块，2个1G电口</w:t>
            </w:r>
          </w:p>
        </w:tc>
      </w:tr>
      <w:tr>
        <w:tblPrEx>
          <w:tblCellMar>
            <w:top w:w="0" w:type="dxa"/>
            <w:left w:w="108" w:type="dxa"/>
            <w:bottom w:w="0" w:type="dxa"/>
            <w:right w:w="108" w:type="dxa"/>
          </w:tblCellMar>
        </w:tblPrEx>
        <w:trPr>
          <w:trHeight w:val="100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2颗处理器，内存容量128G，实配2块480G系统硬盘，2块1T SSD缓存硬盘；4个10G光口，4个10G多模光模块，2个1G电口</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由3台存储节点组成，单台配置如下： 2路48核（12*3.5寸EXP机型），10*16G内存，系统盘：2*600GB SAS HDD，4*GE，2*900W AC)，2*1.6 TB NVME SSD硬盘，12*4T SATA盘，4*10GE光口（含10GE多模光模块），含1套分布式集群管理软件；含分布式对象存储3年软件授权-72TB可得容量</w:t>
            </w:r>
          </w:p>
        </w:tc>
      </w:tr>
      <w:tr>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ascii="宋体" w:hAnsi="宋体" w:cs="宋体"/>
                <w:color w:val="auto"/>
                <w:sz w:val="21"/>
                <w:szCs w:val="21"/>
              </w:rPr>
            </w:pPr>
          </w:p>
        </w:tc>
      </w:tr>
      <w:tr>
        <w:tblPrEx>
          <w:tblCellMar>
            <w:top w:w="0" w:type="dxa"/>
            <w:left w:w="108" w:type="dxa"/>
            <w:bottom w:w="0" w:type="dxa"/>
            <w:right w:w="108" w:type="dxa"/>
          </w:tblCellMar>
        </w:tblPrEx>
        <w:trPr>
          <w:trHeight w:val="6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存储设备</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ascii="宋体" w:hAnsi="宋体" w:cs="宋体"/>
                <w:color w:val="auto"/>
                <w:sz w:val="21"/>
                <w:szCs w:val="21"/>
              </w:rPr>
            </w:pPr>
          </w:p>
        </w:tc>
      </w:tr>
      <w:tr>
        <w:tblPrEx>
          <w:tblCellMar>
            <w:top w:w="0" w:type="dxa"/>
            <w:left w:w="108" w:type="dxa"/>
            <w:bottom w:w="0" w:type="dxa"/>
            <w:right w:w="108" w:type="dxa"/>
          </w:tblCellMar>
        </w:tblPrEx>
        <w:trPr>
          <w:trHeight w:val="10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1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1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17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9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1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1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CPU：2颗FT S2500，128核，主频2.1GHz，内存128GB、480GB SSD *2，4TB SATA HDD*2、2个万兆网口、16GB 双通道HBA</w:t>
            </w:r>
          </w:p>
        </w:tc>
      </w:tr>
      <w:tr>
        <w:tblPrEx>
          <w:tblCellMar>
            <w:top w:w="0" w:type="dxa"/>
            <w:left w:w="108" w:type="dxa"/>
            <w:bottom w:w="0" w:type="dxa"/>
            <w:right w:w="108" w:type="dxa"/>
          </w:tblCellMar>
        </w:tblPrEx>
        <w:trPr>
          <w:trHeight w:val="10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11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120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13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12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8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CPU：2颗鲲鹏920，48核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内存：608GB（19*32G）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存储：1*900G SSD +5*1.8TB 10K SAS硬盘</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网卡：4*GE+8*10GE光口（含光模块）</w:t>
            </w:r>
          </w:p>
        </w:tc>
      </w:tr>
      <w:tr>
        <w:tblPrEx>
          <w:tblCellMar>
            <w:top w:w="0" w:type="dxa"/>
            <w:left w:w="108" w:type="dxa"/>
            <w:bottom w:w="0" w:type="dxa"/>
            <w:right w:w="108" w:type="dxa"/>
          </w:tblCellMar>
        </w:tblPrEx>
        <w:trPr>
          <w:trHeight w:val="17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1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16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17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14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规格：2U，CPU：2颗Gold 6248R 3.0GHz（24C），内存：18*32GB DDR4 2666，系统盘：2*240GB SATA SSD，缓存盘：2*960G SSD，数据盘：4*6T HDD，标配盘位数：12，电源：白金，冗余电源，接口：6千兆电口+2万兆光口。</w:t>
            </w:r>
          </w:p>
        </w:tc>
      </w:tr>
      <w:tr>
        <w:tblPrEx>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440"/>
              <w:jc w:val="center"/>
              <w:textAlignment w:val="center"/>
              <w:rPr>
                <w:rFonts w:ascii="宋体" w:hAnsi="宋体" w:cs="宋体"/>
                <w:color w:val="auto"/>
                <w:sz w:val="22"/>
                <w:szCs w:val="22"/>
              </w:rPr>
            </w:pPr>
            <w:r>
              <w:rPr>
                <w:rFonts w:hint="eastAsia" w:ascii="宋体" w:hAnsi="宋体" w:cs="宋体"/>
                <w:color w:val="auto"/>
                <w:kern w:val="0"/>
                <w:sz w:val="22"/>
                <w:szCs w:val="22"/>
                <w:lang w:bidi="ar"/>
              </w:rPr>
              <w:t>VDS-R-8050</w:t>
            </w:r>
          </w:p>
        </w:tc>
      </w:tr>
      <w:tr>
        <w:tblPrEx>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67</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440"/>
              <w:jc w:val="center"/>
              <w:textAlignment w:val="center"/>
              <w:rPr>
                <w:rFonts w:ascii="宋体" w:hAnsi="宋体" w:cs="宋体"/>
                <w:color w:val="auto"/>
                <w:sz w:val="22"/>
                <w:szCs w:val="22"/>
              </w:rPr>
            </w:pPr>
            <w:r>
              <w:rPr>
                <w:rFonts w:hint="eastAsia" w:ascii="宋体" w:hAnsi="宋体" w:cs="宋体"/>
                <w:color w:val="auto"/>
                <w:kern w:val="0"/>
                <w:sz w:val="22"/>
                <w:szCs w:val="22"/>
                <w:lang w:bidi="ar"/>
              </w:rPr>
              <w:t>VDS-R-8050</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ind w:firstLine="440"/>
              <w:jc w:val="center"/>
              <w:textAlignment w:val="center"/>
              <w:rPr>
                <w:rFonts w:ascii="宋体" w:hAnsi="宋体" w:cs="宋体"/>
                <w:color w:val="auto"/>
                <w:sz w:val="22"/>
                <w:szCs w:val="22"/>
              </w:rPr>
            </w:pPr>
            <w:r>
              <w:rPr>
                <w:rFonts w:hint="eastAsia" w:ascii="宋体" w:hAnsi="宋体" w:cs="宋体"/>
                <w:color w:val="auto"/>
                <w:kern w:val="0"/>
                <w:sz w:val="22"/>
                <w:szCs w:val="22"/>
                <w:lang w:bidi="ar"/>
              </w:rPr>
              <w:t>PR210K</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440"/>
              <w:jc w:val="center"/>
              <w:textAlignment w:val="center"/>
              <w:rPr>
                <w:rFonts w:ascii="宋体" w:hAnsi="宋体" w:cs="宋体"/>
                <w:color w:val="auto"/>
                <w:sz w:val="22"/>
                <w:szCs w:val="22"/>
              </w:rPr>
            </w:pPr>
            <w:r>
              <w:rPr>
                <w:rFonts w:hint="eastAsia" w:ascii="宋体" w:hAnsi="宋体" w:cs="宋体"/>
                <w:color w:val="auto"/>
                <w:kern w:val="0"/>
                <w:sz w:val="22"/>
                <w:szCs w:val="22"/>
                <w:lang w:bidi="ar"/>
              </w:rPr>
              <w:t>PR210K</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服务器设备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440"/>
              <w:jc w:val="center"/>
              <w:textAlignment w:val="center"/>
              <w:rPr>
                <w:rFonts w:ascii="宋体" w:hAnsi="宋体" w:cs="宋体"/>
                <w:color w:val="auto"/>
                <w:sz w:val="22"/>
                <w:szCs w:val="22"/>
              </w:rPr>
            </w:pPr>
            <w:r>
              <w:rPr>
                <w:rFonts w:hint="eastAsia" w:ascii="宋体" w:hAnsi="宋体" w:cs="宋体"/>
                <w:color w:val="auto"/>
                <w:kern w:val="0"/>
                <w:sz w:val="22"/>
                <w:szCs w:val="22"/>
                <w:lang w:bidi="ar"/>
              </w:rPr>
              <w:t>PR210K</w:t>
            </w:r>
          </w:p>
        </w:tc>
      </w:tr>
      <w:tr>
        <w:tblPrEx>
          <w:tblCellMar>
            <w:top w:w="0" w:type="dxa"/>
            <w:left w:w="108" w:type="dxa"/>
            <w:bottom w:w="0" w:type="dxa"/>
            <w:right w:w="108" w:type="dxa"/>
          </w:tblCellMar>
        </w:tblPrEx>
        <w:trPr>
          <w:trHeight w:val="11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4层吞吐量（默认网口）：20Gbps，四层并发连接数：16000000，4层新建连接数 CPS：500000，7层新建连接数 RPS：500000。</w:t>
            </w:r>
          </w:p>
        </w:tc>
      </w:tr>
      <w:tr>
        <w:tblPrEx>
          <w:tblCellMar>
            <w:top w:w="0" w:type="dxa"/>
            <w:left w:w="108" w:type="dxa"/>
            <w:bottom w:w="0" w:type="dxa"/>
            <w:right w:w="108" w:type="dxa"/>
          </w:tblCellMar>
        </w:tblPrEx>
        <w:trPr>
          <w:trHeight w:val="11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4层吞吐量（默认网口）：20Gbps，四层并发连接数：16000000，4层新建连接数 CPS：500000，7层新建连接数 RPS：500000。</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24个10G SFP+光口，2个40GE QSFP+光口；交换容量2.56Tbps/23.04Tbps，包转发率720Mpps，支持全端口线速转发。</w:t>
            </w:r>
          </w:p>
        </w:tc>
      </w:tr>
      <w:tr>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24个10G SFP+光口，2个40GE QSFP+光口；交换容量2.56Tbps/23.04Tbps，包转发率720Mpps，支持全端口线速转发。</w:t>
            </w:r>
          </w:p>
        </w:tc>
      </w:tr>
      <w:tr>
        <w:tblPrEx>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48个10/100/1000Base-T自适应电口，4个万兆SFP+光口；交换容量336Gbps/3.36Tbps，包转发率144Mpps/166Mpps，支持全端口线速转发。</w:t>
            </w:r>
          </w:p>
        </w:tc>
      </w:tr>
      <w:tr>
        <w:tblPrEx>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48个10/100/1000Base-T自适应电口，4个万兆SFP+光口；交换容量336Gbps/3.36Tbps，包转发率144Mpps/166Mpps，支持全端口线速转发。</w:t>
            </w:r>
          </w:p>
        </w:tc>
      </w:tr>
      <w:tr>
        <w:tblPrEx>
          <w:tblCellMar>
            <w:top w:w="0" w:type="dxa"/>
            <w:left w:w="108" w:type="dxa"/>
            <w:bottom w:w="0" w:type="dxa"/>
            <w:right w:w="108" w:type="dxa"/>
          </w:tblCellMar>
        </w:tblPrEx>
        <w:trPr>
          <w:trHeight w:val="18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CPU：4核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千兆口：4电2光</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整机规格：1U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每台配2个千兆光模块（单模）</w:t>
            </w:r>
          </w:p>
        </w:tc>
      </w:tr>
      <w:tr>
        <w:tblPrEx>
          <w:tblCellMar>
            <w:top w:w="0" w:type="dxa"/>
            <w:left w:w="108" w:type="dxa"/>
            <w:bottom w:w="0" w:type="dxa"/>
            <w:right w:w="108" w:type="dxa"/>
          </w:tblCellMar>
        </w:tblPrEx>
        <w:trPr>
          <w:trHeight w:val="18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PU：4核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千兆口：4电2光</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整机规格：1U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每台配2个千兆光模块（单模）</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CPU：16核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硬盘：250G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千兆口：8电</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p>
        </w:tc>
      </w:tr>
      <w:tr>
        <w:tblPrEx>
          <w:tblCellMar>
            <w:top w:w="0" w:type="dxa"/>
            <w:left w:w="108" w:type="dxa"/>
            <w:bottom w:w="0" w:type="dxa"/>
            <w:right w:w="108"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网络接口：4个千兆电口，4个千兆光口，2个万兆光口（支持扩展到共4个万兆光口）</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每台配2个万兆光模块（单模）</w:t>
            </w:r>
          </w:p>
        </w:tc>
      </w:tr>
      <w:tr>
        <w:tblPrEx>
          <w:tblCellMar>
            <w:top w:w="0" w:type="dxa"/>
            <w:left w:w="108" w:type="dxa"/>
            <w:bottom w:w="0" w:type="dxa"/>
            <w:right w:w="108"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网络接口：4个千兆电口，4个千兆光口，2个万兆光口（支持扩展到共4个万兆光口）</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每台配2个万兆光模块（单模）</w:t>
            </w:r>
          </w:p>
        </w:tc>
      </w:tr>
      <w:tr>
        <w:tblPrEx>
          <w:tblCellMar>
            <w:top w:w="0" w:type="dxa"/>
            <w:left w:w="108" w:type="dxa"/>
            <w:bottom w:w="0" w:type="dxa"/>
            <w:right w:w="108" w:type="dxa"/>
          </w:tblCellMar>
        </w:tblPrEx>
        <w:trPr>
          <w:trHeight w:val="29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网络接口：4个千兆电口，4个千兆光口，2个万兆光口（支持扩展到共4个万兆光口）</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每台各配1个万兆光模块（单模）、1个万兆光模块（多模）</w:t>
            </w:r>
          </w:p>
        </w:tc>
      </w:tr>
      <w:tr>
        <w:tblPrEx>
          <w:tblCellMar>
            <w:top w:w="0" w:type="dxa"/>
            <w:left w:w="108" w:type="dxa"/>
            <w:bottom w:w="0" w:type="dxa"/>
            <w:right w:w="108" w:type="dxa"/>
          </w:tblCellMar>
        </w:tblPrEx>
        <w:trPr>
          <w:trHeight w:val="23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CPU：8核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网络接口：4个千兆电口，4个千兆光口，2个万兆光口（支持扩展到共4个万兆光口）</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每台各配1个万兆光模块（单模）、1个万兆光模块（多模）</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CPU：国产（1.5GHz、16核）</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内存：32GB</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硬盘：128GB+4TB</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网卡：10个千兆电口，8个千兆光口</w:t>
            </w:r>
            <w:r>
              <w:rPr>
                <w:rFonts w:hint="eastAsia" w:ascii="宋体" w:hAnsi="宋体" w:cs="宋体"/>
                <w:color w:val="auto"/>
                <w:kern w:val="0"/>
                <w:sz w:val="21"/>
                <w:szCs w:val="21"/>
                <w:lang w:bidi="ar"/>
              </w:rPr>
              <w:br w:type="textWrapping"/>
            </w:r>
            <w:r>
              <w:rPr>
                <w:rFonts w:hint="eastAsia" w:ascii="宋体" w:hAnsi="宋体" w:cs="宋体"/>
                <w:color w:val="auto"/>
                <w:kern w:val="0"/>
                <w:sz w:val="21"/>
                <w:szCs w:val="21"/>
                <w:lang w:bidi="ar"/>
              </w:rPr>
              <w:t>整机规格：2U</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SJJ1946-G支持国密算法、具有采用国密标准的密 码算法芯片、融合的系统架构、自主研发的嵌入式架构、灵活易用的开发接口、兼容国际密码算法标准等特点，依据《GM/T 0030-2014 服务器密码机技术规范》实现了密 码服务功能，接口遵循《GM/T 0018-2012 密码设备应用接口规范》。极大的提高 密码机的安全性、可维护性，为客户提供安全、可靠、易用的密码服务</w:t>
            </w:r>
          </w:p>
        </w:tc>
      </w:tr>
      <w:tr>
        <w:tblPrEx>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安全设备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cs="宋体"/>
                <w:color w:val="auto"/>
                <w:sz w:val="21"/>
                <w:szCs w:val="21"/>
              </w:rPr>
            </w:pPr>
            <w:r>
              <w:rPr>
                <w:rFonts w:hint="eastAsia" w:ascii="宋体" w:hAnsi="宋体" w:cs="宋体"/>
                <w:color w:val="auto"/>
                <w:kern w:val="0"/>
                <w:sz w:val="21"/>
                <w:szCs w:val="21"/>
                <w:lang w:bidi="ar"/>
              </w:rPr>
              <w:t>SJJ1929-G高性能密码专用设备，遵循国家密码管理局最新颁布的《GM/T0023-2014 IPSec VPN网关产品规范》《GM/T0025-2014 SSL VPN网关产品规范》全面支持SM1、SM2、SM3、SM4密码算法，所有密码运算均由内置高速密码模块实现，完全释放主机CPU性能，为用户提供安全、高效的密码应用服务</w:t>
            </w:r>
          </w:p>
        </w:tc>
      </w:tr>
    </w:tbl>
    <w:p>
      <w:pPr>
        <w:ind w:firstLine="480"/>
      </w:pPr>
    </w:p>
    <w:p>
      <w:pPr>
        <w:pStyle w:val="3"/>
        <w:pageBreakBefore w:val="0"/>
        <w:widowControl w:val="0"/>
        <w:tabs>
          <w:tab w:val="left" w:pos="284"/>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07" w:name="_Toc30030"/>
      <w:r>
        <w:rPr>
          <w:rFonts w:hint="eastAsia" w:ascii="宋体" w:hAnsi="宋体" w:eastAsia="宋体" w:cs="宋体"/>
          <w:sz w:val="21"/>
          <w:szCs w:val="21"/>
          <w:lang w:val="en-US" w:eastAsia="zh-CN"/>
        </w:rPr>
        <w:t>三、</w:t>
      </w:r>
      <w:r>
        <w:rPr>
          <w:rFonts w:hint="eastAsia" w:ascii="宋体" w:hAnsi="宋体" w:eastAsia="宋体" w:cs="宋体"/>
          <w:sz w:val="21"/>
          <w:szCs w:val="21"/>
        </w:rPr>
        <w:t>其他要求</w:t>
      </w:r>
      <w:bookmarkEnd w:id="107"/>
    </w:p>
    <w:p>
      <w:pPr>
        <w:pStyle w:val="4"/>
        <w:pageBreakBefore w:val="0"/>
        <w:widowControl w:val="0"/>
        <w:numPr>
          <w:ilvl w:val="1"/>
          <w:numId w:val="15"/>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08" w:name="_Toc2521"/>
      <w:r>
        <w:rPr>
          <w:rFonts w:hint="eastAsia" w:ascii="宋体" w:hAnsi="宋体" w:eastAsia="宋体" w:cs="宋体"/>
          <w:sz w:val="21"/>
          <w:szCs w:val="21"/>
        </w:rPr>
        <w:t>文字性报告要求</w:t>
      </w:r>
      <w:bookmarkEnd w:id="108"/>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响应</w:t>
      </w:r>
      <w:r>
        <w:rPr>
          <w:rFonts w:hint="eastAsia" w:ascii="宋体" w:hAnsi="宋体" w:eastAsia="宋体" w:cs="宋体"/>
          <w:sz w:val="21"/>
          <w:szCs w:val="21"/>
        </w:rPr>
        <w:t>人所有的文字性报告需由其项目负责人签字、加盖公章后提交采购人。</w:t>
      </w:r>
    </w:p>
    <w:p>
      <w:pPr>
        <w:pStyle w:val="4"/>
        <w:pageBreakBefore w:val="0"/>
        <w:widowControl w:val="0"/>
        <w:numPr>
          <w:ilvl w:val="1"/>
          <w:numId w:val="15"/>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09" w:name="_Toc14741"/>
      <w:r>
        <w:rPr>
          <w:rFonts w:hint="eastAsia" w:ascii="宋体" w:hAnsi="宋体" w:eastAsia="宋体" w:cs="宋体"/>
          <w:sz w:val="21"/>
          <w:szCs w:val="21"/>
        </w:rPr>
        <w:t>项目验收要求</w:t>
      </w:r>
      <w:bookmarkEnd w:id="109"/>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本项目根据行业标准、国家标准要求进行验收，验收期间产生的成果抽查、专家评审等费用由</w:t>
      </w:r>
      <w:r>
        <w:rPr>
          <w:rFonts w:hint="eastAsia" w:ascii="宋体" w:hAnsi="宋体" w:eastAsia="宋体" w:cs="宋体"/>
          <w:sz w:val="21"/>
          <w:szCs w:val="21"/>
          <w:lang w:eastAsia="zh-CN"/>
        </w:rPr>
        <w:t>中选</w:t>
      </w:r>
      <w:r>
        <w:rPr>
          <w:rFonts w:hint="eastAsia" w:ascii="宋体" w:hAnsi="宋体" w:eastAsia="宋体" w:cs="宋体"/>
          <w:sz w:val="21"/>
          <w:szCs w:val="21"/>
        </w:rPr>
        <w:t>单位负责。</w:t>
      </w:r>
    </w:p>
    <w:p>
      <w:pPr>
        <w:pStyle w:val="2"/>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维护期结束后【7】个工作日内对中选供应商的工作结果进行验收。验收应当按照双方在合同中关于验收标准的约定进行。中选供应商应当在验收前做好验收的必要准备并向采购人提交验收申请书。验收合格后由双方签署验收报告并加盖公章。</w:t>
      </w:r>
    </w:p>
    <w:p>
      <w:pPr>
        <w:pStyle w:val="4"/>
        <w:pageBreakBefore w:val="0"/>
        <w:widowControl w:val="0"/>
        <w:numPr>
          <w:ilvl w:val="1"/>
          <w:numId w:val="15"/>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10" w:name="_Toc30456"/>
      <w:r>
        <w:rPr>
          <w:rFonts w:hint="eastAsia" w:ascii="宋体" w:hAnsi="宋体" w:eastAsia="宋体" w:cs="宋体"/>
          <w:sz w:val="21"/>
          <w:szCs w:val="21"/>
        </w:rPr>
        <w:t>服务要求</w:t>
      </w:r>
      <w:bookmarkEnd w:id="110"/>
    </w:p>
    <w:p>
      <w:pPr>
        <w:pageBreakBefore w:val="0"/>
        <w:widowControl w:val="0"/>
        <w:numPr>
          <w:ilvl w:val="0"/>
          <w:numId w:val="16"/>
        </w:numP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本项目是为机房设备及系统提供技术支持运维服务；</w:t>
      </w:r>
    </w:p>
    <w:p>
      <w:pPr>
        <w:pageBreakBefore w:val="0"/>
        <w:widowControl w:val="0"/>
        <w:numPr>
          <w:ilvl w:val="0"/>
          <w:numId w:val="16"/>
        </w:numP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同时根据项目的维护要求提供7×24小时现场技术支持和远程技术支持，并对机房资产和网络进行记录与保护。</w:t>
      </w:r>
    </w:p>
    <w:p>
      <w:pPr>
        <w:pStyle w:val="4"/>
        <w:pageBreakBefore w:val="0"/>
        <w:widowControl w:val="0"/>
        <w:numPr>
          <w:ilvl w:val="1"/>
          <w:numId w:val="15"/>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11" w:name="_Toc475021537"/>
      <w:bookmarkStart w:id="112" w:name="_Toc23289"/>
      <w:bookmarkStart w:id="113" w:name="_Toc442194840"/>
      <w:r>
        <w:rPr>
          <w:rFonts w:hint="eastAsia" w:ascii="宋体" w:hAnsi="宋体" w:eastAsia="宋体" w:cs="宋体"/>
          <w:sz w:val="21"/>
          <w:szCs w:val="21"/>
        </w:rPr>
        <w:t>保密要求</w:t>
      </w:r>
      <w:bookmarkEnd w:id="111"/>
      <w:bookmarkEnd w:id="112"/>
      <w:bookmarkEnd w:id="113"/>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114" w:name="_Toc442194841"/>
      <w:r>
        <w:rPr>
          <w:rFonts w:hint="eastAsia" w:ascii="宋体" w:hAnsi="宋体" w:eastAsia="宋体" w:cs="宋体"/>
          <w:sz w:val="21"/>
          <w:szCs w:val="21"/>
        </w:rPr>
        <w:t>在项目实施过程中，</w:t>
      </w:r>
      <w:r>
        <w:rPr>
          <w:rFonts w:hint="eastAsia" w:ascii="宋体" w:hAnsi="宋体" w:eastAsia="宋体" w:cs="宋体"/>
          <w:sz w:val="21"/>
          <w:szCs w:val="21"/>
          <w:lang w:eastAsia="zh-CN"/>
        </w:rPr>
        <w:t>响应</w:t>
      </w:r>
      <w:r>
        <w:rPr>
          <w:rFonts w:hint="eastAsia" w:ascii="宋体" w:hAnsi="宋体" w:eastAsia="宋体" w:cs="宋体"/>
          <w:sz w:val="21"/>
          <w:szCs w:val="21"/>
        </w:rPr>
        <w:t>人对采购人所提供的相关资料、数据，未经采购人书面同意不得泄露，不得擅自修改、传送或向第三人转让或用于本合同外的项目，否则均以违法违约处理。</w:t>
      </w:r>
      <w:r>
        <w:rPr>
          <w:rFonts w:hint="eastAsia" w:ascii="宋体" w:hAnsi="宋体" w:eastAsia="宋体" w:cs="宋体"/>
          <w:sz w:val="21"/>
          <w:szCs w:val="21"/>
          <w:lang w:eastAsia="zh-CN"/>
        </w:rPr>
        <w:t>响应</w:t>
      </w:r>
      <w:r>
        <w:rPr>
          <w:rFonts w:hint="eastAsia" w:ascii="宋体" w:hAnsi="宋体" w:eastAsia="宋体" w:cs="宋体"/>
          <w:sz w:val="21"/>
          <w:szCs w:val="21"/>
        </w:rPr>
        <w:t>人负有对成果资料保密的责任，且保密责任不因合同的中止或解除而失效。</w:t>
      </w:r>
      <w:bookmarkEnd w:id="114"/>
    </w:p>
    <w:p>
      <w:pPr>
        <w:pStyle w:val="4"/>
        <w:pageBreakBefore w:val="0"/>
        <w:widowControl w:val="0"/>
        <w:numPr>
          <w:ilvl w:val="1"/>
          <w:numId w:val="15"/>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lang w:val="en-US"/>
        </w:rPr>
        <w:t>人员要求</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需提供全职技术支持不少于人员1人到采购人指定的现场负责完成采购人指定工作内容，除此之外应急技术支持人员不少于3人。</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人（非江门地区内注册的）应当在江门地区内设有固定的售后服务机构（必须提供相关证明材料，不接受委托第三方提供售后服务）。</w:t>
      </w:r>
    </w:p>
    <w:p>
      <w:pPr>
        <w:pStyle w:val="3"/>
        <w:pageBreakBefore w:val="0"/>
        <w:widowControl w:val="0"/>
        <w:tabs>
          <w:tab w:val="left" w:pos="284"/>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15" w:name="_Toc5291"/>
      <w:r>
        <w:rPr>
          <w:rFonts w:hint="eastAsia" w:ascii="宋体" w:hAnsi="宋体" w:eastAsia="宋体" w:cs="宋体"/>
          <w:sz w:val="21"/>
          <w:szCs w:val="21"/>
          <w:lang w:val="en-US" w:eastAsia="zh-CN"/>
        </w:rPr>
        <w:t>四、</w:t>
      </w:r>
      <w:r>
        <w:rPr>
          <w:rFonts w:hint="eastAsia" w:ascii="宋体" w:hAnsi="宋体" w:eastAsia="宋体" w:cs="宋体"/>
          <w:sz w:val="21"/>
          <w:szCs w:val="21"/>
        </w:rPr>
        <w:t>售后/运维要求</w:t>
      </w:r>
      <w:bookmarkEnd w:id="115"/>
    </w:p>
    <w:p>
      <w:pPr>
        <w:pStyle w:val="4"/>
        <w:pageBreakBefore w:val="0"/>
        <w:widowControl w:val="0"/>
        <w:numPr>
          <w:ilvl w:val="1"/>
          <w:numId w:val="17"/>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bookmarkStart w:id="116" w:name="_Toc18405"/>
      <w:r>
        <w:rPr>
          <w:rFonts w:hint="eastAsia" w:ascii="宋体" w:hAnsi="宋体" w:eastAsia="宋体" w:cs="宋体"/>
          <w:sz w:val="21"/>
          <w:szCs w:val="21"/>
        </w:rPr>
        <w:t>服务周期</w:t>
      </w:r>
      <w:bookmarkEnd w:id="116"/>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自项目合同签订生效后提供壹年的维护服务。</w:t>
      </w:r>
    </w:p>
    <w:p>
      <w:pPr>
        <w:pStyle w:val="4"/>
        <w:pageBreakBefore w:val="0"/>
        <w:widowControl w:val="0"/>
        <w:numPr>
          <w:ilvl w:val="1"/>
          <w:numId w:val="17"/>
        </w:numPr>
        <w:tabs>
          <w:tab w:val="left" w:pos="747"/>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售后服务方式</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保证采购人可以7*24小时享受到技术服务，</w:t>
      </w:r>
      <w:r>
        <w:rPr>
          <w:rFonts w:hint="eastAsia" w:ascii="宋体" w:hAnsi="宋体" w:eastAsia="宋体" w:cs="宋体"/>
          <w:sz w:val="21"/>
          <w:szCs w:val="21"/>
          <w:lang w:eastAsia="zh-CN"/>
        </w:rPr>
        <w:t>响应</w:t>
      </w:r>
      <w:r>
        <w:rPr>
          <w:rFonts w:hint="eastAsia" w:ascii="宋体" w:hAnsi="宋体" w:eastAsia="宋体" w:cs="宋体"/>
          <w:sz w:val="21"/>
          <w:szCs w:val="21"/>
        </w:rPr>
        <w:t>人需提供多种技术服务方法，例如电话支持，远程维护，现场维护等。同时为了保证售后服务的质量，</w:t>
      </w:r>
      <w:r>
        <w:rPr>
          <w:rFonts w:hint="eastAsia" w:ascii="宋体" w:hAnsi="宋体" w:eastAsia="宋体" w:cs="宋体"/>
          <w:sz w:val="21"/>
          <w:szCs w:val="21"/>
          <w:lang w:eastAsia="zh-CN"/>
        </w:rPr>
        <w:t>响应</w:t>
      </w:r>
      <w:r>
        <w:rPr>
          <w:rFonts w:hint="eastAsia" w:ascii="宋体" w:hAnsi="宋体" w:eastAsia="宋体" w:cs="宋体"/>
          <w:sz w:val="21"/>
          <w:szCs w:val="21"/>
        </w:rPr>
        <w:t>人需定期对项目的运行情况进行检查，保证项目的顺利实施。</w:t>
      </w:r>
    </w:p>
    <w:p>
      <w:pPr>
        <w:pStyle w:val="5"/>
        <w:pageBreakBefore w:val="0"/>
        <w:widowControl w:val="0"/>
        <w:tabs>
          <w:tab w:val="left" w:pos="1288"/>
          <w:tab w:val="left" w:pos="1429"/>
        </w:tabs>
        <w:kinsoku/>
        <w:wordWrap/>
        <w:overflowPunct/>
        <w:topLinePunct w:val="0"/>
        <w:autoSpaceDE/>
        <w:autoSpaceDN/>
        <w:bidi w:val="0"/>
        <w:adjustRightInd/>
        <w:snapToGrid/>
        <w:spacing w:before="0" w:after="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电话支持服务</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响应</w:t>
      </w:r>
      <w:r>
        <w:rPr>
          <w:rFonts w:hint="eastAsia" w:ascii="宋体" w:hAnsi="宋体" w:eastAsia="宋体" w:cs="宋体"/>
          <w:sz w:val="21"/>
          <w:szCs w:val="21"/>
        </w:rPr>
        <w:t>人提供7*24小时热线电话支持，安排专职值班维护人员接听采购人的电话。</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由技术工程师直接同业务人员对话，帮助解决采购人提出的疑难问题。对采购人提出的一般性问题进行技术咨询和指导。同时根据问题的严重程度，将优先解决采购人认为关键而紧急的任务。</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当采购人报告问题后，项目维护人员立即提供电话支持。首先由项目维护人员向采购人询问起因、现象、结果等有关信息，认真做好记录，建立维护事件记录（CASE），填写《服务和维护记录表》。然后根据这些信息做出判断，提出解决方法，耐心指导采购人逐步完成故障处理。</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如果项目维护维护人员不能解决问题，就会将故障事件通知相关的</w:t>
      </w:r>
      <w:r>
        <w:rPr>
          <w:rFonts w:hint="eastAsia" w:ascii="宋体" w:hAnsi="宋体" w:eastAsia="宋体" w:cs="宋体"/>
          <w:sz w:val="21"/>
          <w:szCs w:val="21"/>
          <w:lang w:eastAsia="zh-CN"/>
        </w:rPr>
        <w:t>响应</w:t>
      </w:r>
      <w:r>
        <w:rPr>
          <w:rFonts w:hint="eastAsia" w:ascii="宋体" w:hAnsi="宋体" w:eastAsia="宋体" w:cs="宋体"/>
          <w:sz w:val="21"/>
          <w:szCs w:val="21"/>
        </w:rPr>
        <w:t>人技术人员解决。通过电话解决问题后，项目维护人员将故障情况和解决方法记录在《服务和维护记录表》。</w:t>
      </w:r>
    </w:p>
    <w:p>
      <w:pPr>
        <w:pStyle w:val="5"/>
        <w:pageBreakBefore w:val="0"/>
        <w:widowControl w:val="0"/>
        <w:tabs>
          <w:tab w:val="left" w:pos="1288"/>
          <w:tab w:val="left" w:pos="1429"/>
        </w:tabs>
        <w:kinsoku/>
        <w:wordWrap/>
        <w:overflowPunct/>
        <w:topLinePunct w:val="0"/>
        <w:autoSpaceDE/>
        <w:autoSpaceDN/>
        <w:bidi w:val="0"/>
        <w:adjustRightInd/>
        <w:snapToGrid/>
        <w:spacing w:before="0" w:after="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电子邮件服务</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与电话热线服务相似，</w:t>
      </w:r>
      <w:r>
        <w:rPr>
          <w:rFonts w:hint="eastAsia" w:ascii="宋体" w:hAnsi="宋体" w:eastAsia="宋体" w:cs="宋体"/>
          <w:sz w:val="21"/>
          <w:szCs w:val="21"/>
          <w:lang w:eastAsia="zh-CN"/>
        </w:rPr>
        <w:t>响应</w:t>
      </w:r>
      <w:r>
        <w:rPr>
          <w:rFonts w:hint="eastAsia" w:ascii="宋体" w:hAnsi="宋体" w:eastAsia="宋体" w:cs="宋体"/>
          <w:sz w:val="21"/>
          <w:szCs w:val="21"/>
        </w:rPr>
        <w:t>人提供专门邮件服务渠道。采购人可以以电子邮件的形式，随时向指定邮箱发送关于各类数据问题、业务咨询、投诉等信息，售后服务人员将及时予以回复。同时记录《服务和维护记录表》。对于售后服务人员无法解答的问题，将反馈到项目组或更高领导层请求进一步支持。</w:t>
      </w:r>
    </w:p>
    <w:p>
      <w:pPr>
        <w:pStyle w:val="5"/>
        <w:pageBreakBefore w:val="0"/>
        <w:widowControl w:val="0"/>
        <w:tabs>
          <w:tab w:val="left" w:pos="1288"/>
          <w:tab w:val="left" w:pos="1429"/>
        </w:tabs>
        <w:kinsoku/>
        <w:wordWrap/>
        <w:overflowPunct/>
        <w:topLinePunct w:val="0"/>
        <w:autoSpaceDE/>
        <w:autoSpaceDN/>
        <w:bidi w:val="0"/>
        <w:adjustRightInd/>
        <w:snapToGrid/>
        <w:spacing w:before="0" w:after="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远程维护</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如果电话支持不能解决，在采购人方面的允许下和监控下，</w:t>
      </w:r>
      <w:r>
        <w:rPr>
          <w:rFonts w:hint="eastAsia" w:ascii="宋体" w:hAnsi="宋体" w:eastAsia="宋体" w:cs="宋体"/>
          <w:sz w:val="21"/>
          <w:szCs w:val="21"/>
          <w:lang w:eastAsia="zh-CN"/>
        </w:rPr>
        <w:t>响应</w:t>
      </w:r>
      <w:r>
        <w:rPr>
          <w:rFonts w:hint="eastAsia" w:ascii="宋体" w:hAnsi="宋体" w:eastAsia="宋体" w:cs="宋体"/>
          <w:sz w:val="21"/>
          <w:szCs w:val="21"/>
        </w:rPr>
        <w:t>人维护人员可以用拨号入网方式登录现场进行维护服务。向采购人或相关单位取得维护账号和密码后，项目维护人员将远程登录到采购人的系统进行问题的分析。完成维护工作后，项目维护人员配合采购人或相关单位进行功能测试，然后取消或更改维护账号和密码，将工作情况记录在《服务和维护记录表》。</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对数据和系统安全保密要求高的项目，不允许进行远程登录维护。</w:t>
      </w:r>
    </w:p>
    <w:p>
      <w:pPr>
        <w:pStyle w:val="5"/>
        <w:pageBreakBefore w:val="0"/>
        <w:widowControl w:val="0"/>
        <w:tabs>
          <w:tab w:val="left" w:pos="1288"/>
          <w:tab w:val="left" w:pos="1429"/>
        </w:tabs>
        <w:kinsoku/>
        <w:wordWrap/>
        <w:overflowPunct/>
        <w:topLinePunct w:val="0"/>
        <w:autoSpaceDE/>
        <w:autoSpaceDN/>
        <w:bidi w:val="0"/>
        <w:adjustRightInd/>
        <w:snapToGrid/>
        <w:spacing w:before="0" w:after="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现场维护</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远程维护不能解决，需要派人到现场的事件，由采购人或相关部门以电子文档形式报告情况，并附相关的日志信息或者出错信息。由项目维护人员向项目实施负责人提出故障处理的需求。项目实施负责人根据项目的服务和维护协议、需要服务项目的大小、服务和维护任务的紧急程度、故障的情况等因素对维护工作进行分级处理。不同的维护级别采取不同的反应措施，项目实施负责人安排不同技术层次、技术专长的维护人员进行现场解决，并下达《任务书》给项目维护人员。</w:t>
      </w:r>
    </w:p>
    <w:p>
      <w:pPr>
        <w:pStyle w:val="45"/>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项目维护人员在服务中心制定解决方案，到达现场后，首先对系统和重要数据作好备份，然后才进行数据修改，查找原因，会同采购人或相关部门研究解决的方法，进行故障的处理。解决故障后，填写《任务书》，由用户签字确认，提交给项目实施负责人填写考核意见，连同其它相关文档一起提交</w:t>
      </w:r>
      <w:r>
        <w:rPr>
          <w:rFonts w:hint="eastAsia" w:ascii="宋体" w:hAnsi="宋体" w:eastAsia="宋体" w:cs="宋体"/>
          <w:sz w:val="21"/>
          <w:szCs w:val="21"/>
          <w:lang w:eastAsia="zh-CN"/>
        </w:rPr>
        <w:t>响应</w:t>
      </w:r>
      <w:r>
        <w:rPr>
          <w:rFonts w:hint="eastAsia" w:ascii="宋体" w:hAnsi="宋体" w:eastAsia="宋体" w:cs="宋体"/>
          <w:sz w:val="21"/>
          <w:szCs w:val="21"/>
        </w:rPr>
        <w:t>人配置管理员</w:t>
      </w:r>
      <w:r>
        <w:rPr>
          <w:rFonts w:hint="eastAsia" w:ascii="宋体" w:hAnsi="宋体" w:eastAsia="宋体" w:cs="宋体"/>
          <w:sz w:val="21"/>
          <w:szCs w:val="21"/>
          <w:lang w:eastAsia="zh-CN"/>
        </w:rPr>
        <w:t>。</w:t>
      </w:r>
    </w:p>
    <w:p>
      <w:pPr>
        <w:pStyle w:val="3"/>
        <w:pageBreakBefore w:val="0"/>
        <w:widowControl w:val="0"/>
        <w:tabs>
          <w:tab w:val="left" w:pos="284"/>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五、项目预算</w:t>
      </w:r>
    </w:p>
    <w:p>
      <w:pPr>
        <w:pStyle w:val="45"/>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color w:val="auto"/>
        </w:rPr>
      </w:pPr>
      <w:r>
        <w:rPr>
          <w:color w:val="auto"/>
        </w:rPr>
        <w:t>本项目的最高限价为人民币</w:t>
      </w:r>
      <w:r>
        <w:rPr>
          <w:rFonts w:hint="eastAsia"/>
          <w:color w:val="auto"/>
        </w:rPr>
        <w:t>9.715万</w:t>
      </w:r>
      <w:r>
        <w:rPr>
          <w:color w:val="auto"/>
        </w:rPr>
        <w:t>元</w:t>
      </w:r>
      <w:r>
        <w:rPr>
          <w:rFonts w:hint="eastAsia"/>
          <w:color w:val="auto"/>
        </w:rPr>
        <w:t>（含税）</w:t>
      </w:r>
      <w:r>
        <w:rPr>
          <w:color w:val="auto"/>
        </w:rPr>
        <w:t>，</w:t>
      </w:r>
      <w:r>
        <w:rPr>
          <w:rFonts w:hint="eastAsia"/>
          <w:color w:val="auto"/>
          <w:lang w:eastAsia="zh-CN"/>
        </w:rPr>
        <w:t>响应</w:t>
      </w:r>
      <w:r>
        <w:rPr>
          <w:color w:val="auto"/>
        </w:rPr>
        <w:t>报价不得超过最高限价，否则作无效</w:t>
      </w:r>
      <w:r>
        <w:rPr>
          <w:rFonts w:hint="eastAsia"/>
          <w:color w:val="auto"/>
          <w:lang w:eastAsia="zh-CN"/>
        </w:rPr>
        <w:t>响应</w:t>
      </w:r>
      <w:r>
        <w:rPr>
          <w:color w:val="auto"/>
        </w:rPr>
        <w:t>处理。</w:t>
      </w:r>
    </w:p>
    <w:p>
      <w:pPr>
        <w:pStyle w:val="3"/>
        <w:pageBreakBefore w:val="0"/>
        <w:widowControl w:val="0"/>
        <w:tabs>
          <w:tab w:val="left" w:pos="284"/>
        </w:tabs>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六、费用支付方式</w:t>
      </w:r>
    </w:p>
    <w:p>
      <w:pPr>
        <w:pStyle w:val="48"/>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eastAsia="zh-CN"/>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视项目进度情况，在一年内分期支付合同总价款。本服务费用合同签订生效后5个工作日内，采购人收到</w:t>
      </w:r>
      <w:r>
        <w:rPr>
          <w:rFonts w:hint="eastAsia"/>
          <w:color w:val="auto"/>
          <w:lang w:val="en-US" w:eastAsia="zh-CN"/>
        </w:rPr>
        <w:t>中选</w:t>
      </w:r>
      <w:r>
        <w:rPr>
          <w:rFonts w:hint="eastAsia"/>
          <w:color w:val="auto"/>
        </w:rPr>
        <w:t>供应商开具的等额增值税专用发票（可抵扣6%）支付合同金额的40%</w:t>
      </w:r>
      <w:r>
        <w:rPr>
          <w:rFonts w:hint="eastAsia"/>
          <w:color w:val="auto"/>
          <w:lang w:eastAsia="zh-CN"/>
        </w:rPr>
        <w:t>。</w:t>
      </w:r>
    </w:p>
    <w:p>
      <w:pPr>
        <w:pStyle w:val="48"/>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eastAsia="zh-CN"/>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本服务项目半年期采购人收到</w:t>
      </w:r>
      <w:r>
        <w:rPr>
          <w:rFonts w:hint="eastAsia"/>
          <w:color w:val="auto"/>
          <w:lang w:eastAsia="zh-CN"/>
        </w:rPr>
        <w:t>中选</w:t>
      </w:r>
      <w:r>
        <w:rPr>
          <w:rFonts w:hint="eastAsia"/>
          <w:color w:val="auto"/>
        </w:rPr>
        <w:t>供应商开具的等额增值税专用发票（可抵扣6%）支付合同金额的40%</w:t>
      </w:r>
      <w:r>
        <w:rPr>
          <w:rFonts w:hint="eastAsia"/>
          <w:color w:val="auto"/>
          <w:lang w:eastAsia="zh-CN"/>
        </w:rPr>
        <w:t>。</w:t>
      </w:r>
    </w:p>
    <w:p>
      <w:pPr>
        <w:pStyle w:val="48"/>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本服务验收合格后5个工作日内，采购人收到</w:t>
      </w:r>
      <w:r>
        <w:rPr>
          <w:rFonts w:hint="eastAsia"/>
          <w:color w:val="auto"/>
          <w:lang w:eastAsia="zh-CN"/>
        </w:rPr>
        <w:t>中选</w:t>
      </w:r>
      <w:r>
        <w:rPr>
          <w:rFonts w:hint="eastAsia"/>
          <w:color w:val="auto"/>
        </w:rPr>
        <w:t>供应商开具的等额增值税专用发票（可抵扣6%）支付合同金额的20%付清余款。</w:t>
      </w:r>
    </w:p>
    <w:p>
      <w:pPr>
        <w:pStyle w:val="45"/>
        <w:pageBreakBefore w:val="0"/>
        <w:widowControl w:val="0"/>
        <w:numPr>
          <w:ilvl w:val="0"/>
          <w:numId w:val="0"/>
        </w:numPr>
        <w:kinsoku/>
        <w:wordWrap/>
        <w:overflowPunct/>
        <w:topLinePunct w:val="0"/>
        <w:autoSpaceDE/>
        <w:autoSpaceDN/>
        <w:bidi w:val="0"/>
        <w:adjustRightInd/>
        <w:snapToGrid/>
        <w:spacing w:line="360" w:lineRule="auto"/>
        <w:ind w:left="840" w:leftChars="0"/>
        <w:textAlignment w:val="auto"/>
        <w:rPr>
          <w:rFonts w:hint="eastAsia"/>
          <w:color w:val="auto"/>
          <w:lang w:val="en-US" w:eastAsia="zh-CN"/>
        </w:rPr>
      </w:pPr>
    </w:p>
    <w:p>
      <w:pP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15"/>
      </w:pPr>
    </w:p>
    <w:p>
      <w:pPr>
        <w:pStyle w:val="3"/>
        <w:jc w:val="center"/>
        <w:rPr>
          <w:b w:val="0"/>
          <w:sz w:val="32"/>
          <w:szCs w:val="32"/>
          <w:highlight w:val="none"/>
        </w:rPr>
      </w:pPr>
      <w:bookmarkStart w:id="117" w:name="_Toc15722"/>
      <w:bookmarkStart w:id="118" w:name="_Toc20951"/>
      <w:bookmarkStart w:id="119" w:name="_Toc337"/>
      <w:r>
        <w:rPr>
          <w:rFonts w:hint="eastAsia"/>
          <w:b w:val="0"/>
          <w:sz w:val="32"/>
          <w:szCs w:val="32"/>
          <w:highlight w:val="none"/>
        </w:rPr>
        <w:t>第六章 响应文件格式</w:t>
      </w:r>
      <w:bookmarkEnd w:id="117"/>
      <w:bookmarkEnd w:id="118"/>
      <w:bookmarkEnd w:id="119"/>
    </w:p>
    <w:p>
      <w:pPr>
        <w:bidi w:val="0"/>
        <w:jc w:val="right"/>
        <w:rPr>
          <w:rFonts w:hint="eastAsia" w:ascii="宋体" w:hAnsi="宋体" w:eastAsia="宋体" w:cs="宋体"/>
          <w:b/>
          <w:bCs/>
          <w:sz w:val="52"/>
          <w:szCs w:val="52"/>
          <w:highlight w:val="none"/>
        </w:rPr>
      </w:pPr>
    </w:p>
    <w:p>
      <w:pPr>
        <w:bidi w:val="0"/>
        <w:jc w:val="center"/>
        <w:rPr>
          <w:rFonts w:hint="eastAsia" w:ascii="宋体" w:hAnsi="宋体" w:eastAsia="宋体" w:cs="宋体"/>
          <w:sz w:val="36"/>
          <w:szCs w:val="36"/>
          <w:highlight w:val="none"/>
        </w:rPr>
      </w:pPr>
    </w:p>
    <w:p>
      <w:pPr>
        <w:bidi w:val="0"/>
        <w:jc w:val="center"/>
        <w:rPr>
          <w:rFonts w:hint="eastAsia" w:ascii="宋体" w:hAnsi="宋体" w:eastAsia="宋体" w:cs="宋体"/>
          <w:sz w:val="36"/>
          <w:szCs w:val="36"/>
          <w:highlight w:val="none"/>
          <w:u w:val="none"/>
          <w:lang w:val="en-US" w:eastAsia="zh-CN"/>
        </w:rPr>
      </w:pPr>
      <w:r>
        <w:rPr>
          <w:rFonts w:hint="eastAsia" w:ascii="宋体" w:hAnsi="宋体" w:eastAsia="宋体" w:cs="宋体"/>
          <w:sz w:val="36"/>
          <w:szCs w:val="36"/>
          <w:highlight w:val="none"/>
          <w:u w:val="none"/>
          <w:lang w:val="en-US" w:eastAsia="zh-CN"/>
        </w:rPr>
        <w:t>数字江门网络建设有限公司</w:t>
      </w:r>
    </w:p>
    <w:p>
      <w:pPr>
        <w:bidi w:val="0"/>
        <w:jc w:val="center"/>
        <w:rPr>
          <w:rFonts w:hint="eastAsia" w:ascii="宋体" w:hAnsi="宋体" w:eastAsia="宋体" w:cs="宋体"/>
          <w:sz w:val="36"/>
          <w:szCs w:val="36"/>
          <w:highlight w:val="none"/>
          <w:lang w:val="en-US" w:eastAsia="zh-CN"/>
        </w:rPr>
      </w:pPr>
      <w:r>
        <w:rPr>
          <w:rFonts w:hint="eastAsia" w:ascii="宋体" w:hAnsi="宋体" w:eastAsia="宋体" w:cs="宋体"/>
          <w:sz w:val="36"/>
          <w:szCs w:val="36"/>
          <w:highlight w:val="none"/>
          <w:u w:val="none"/>
          <w:lang w:val="en-US" w:eastAsia="zh-CN"/>
        </w:rPr>
        <w:t>信息技术应用创新项目运维服务</w:t>
      </w:r>
    </w:p>
    <w:p>
      <w:pPr>
        <w:bidi w:val="0"/>
        <w:jc w:val="center"/>
        <w:rPr>
          <w:rFonts w:hint="eastAsia" w:ascii="宋体" w:hAnsi="宋体" w:eastAsia="宋体" w:cs="宋体"/>
          <w:sz w:val="36"/>
          <w:szCs w:val="36"/>
          <w:highlight w:val="none"/>
        </w:rPr>
      </w:pPr>
    </w:p>
    <w:p>
      <w:pPr>
        <w:bidi w:val="0"/>
        <w:jc w:val="center"/>
        <w:rPr>
          <w:rFonts w:hint="eastAsia" w:ascii="宋体" w:hAnsi="宋体" w:eastAsia="宋体" w:cs="宋体"/>
          <w:spacing w:val="20"/>
          <w:sz w:val="36"/>
          <w:szCs w:val="36"/>
          <w:highlight w:val="none"/>
          <w:lang w:val="en-US" w:eastAsia="zh-CN"/>
        </w:rPr>
      </w:pPr>
      <w:r>
        <w:rPr>
          <w:rFonts w:hint="eastAsia" w:ascii="宋体" w:hAnsi="宋体" w:eastAsia="宋体" w:cs="宋体"/>
          <w:sz w:val="36"/>
          <w:szCs w:val="36"/>
          <w:highlight w:val="none"/>
        </w:rPr>
        <w:t>项目编号：</w:t>
      </w:r>
      <w:r>
        <w:rPr>
          <w:rFonts w:hint="eastAsia" w:ascii="宋体" w:hAnsi="宋体" w:eastAsia="宋体" w:cs="宋体"/>
          <w:kern w:val="2"/>
          <w:sz w:val="36"/>
          <w:szCs w:val="36"/>
          <w:highlight w:val="none"/>
          <w:lang w:val="en-US" w:eastAsia="zh-CN" w:bidi="ar-SA"/>
        </w:rPr>
        <w:t>JYCG2022020</w:t>
      </w:r>
    </w:p>
    <w:p>
      <w:pPr>
        <w:spacing w:after="120" w:line="720" w:lineRule="exact"/>
        <w:rPr>
          <w:rFonts w:hint="eastAsia"/>
          <w:color w:val="000000"/>
          <w:sz w:val="36"/>
          <w:szCs w:val="36"/>
          <w:highlight w:val="none"/>
        </w:rPr>
      </w:pPr>
    </w:p>
    <w:p>
      <w:pPr>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w:t>
      </w:r>
      <w:r>
        <w:rPr>
          <w:rFonts w:hint="eastAsia" w:eastAsia="黑体"/>
          <w:spacing w:val="20"/>
          <w:sz w:val="36"/>
          <w:szCs w:val="36"/>
          <w:highlight w:val="none"/>
        </w:rPr>
        <w:t>文件</w:t>
      </w:r>
    </w:p>
    <w:p>
      <w:pPr>
        <w:spacing w:after="120" w:line="920" w:lineRule="exact"/>
        <w:jc w:val="center"/>
        <w:rPr>
          <w:rFonts w:eastAsia="黑体"/>
          <w:spacing w:val="20"/>
          <w:sz w:val="50"/>
          <w:szCs w:val="50"/>
          <w:highlight w:val="none"/>
        </w:rPr>
      </w:pPr>
    </w:p>
    <w:p>
      <w:pPr>
        <w:spacing w:after="120" w:line="920" w:lineRule="exact"/>
        <w:jc w:val="center"/>
        <w:rPr>
          <w:color w:val="000000"/>
          <w:sz w:val="20"/>
          <w:highlight w:val="none"/>
        </w:rPr>
      </w:pPr>
    </w:p>
    <w:p>
      <w:pPr>
        <w:spacing w:after="120" w:line="440" w:lineRule="exact"/>
        <w:jc w:val="center"/>
        <w:rPr>
          <w:color w:val="000000"/>
          <w:sz w:val="20"/>
          <w:highlight w:val="none"/>
        </w:rPr>
      </w:pPr>
    </w:p>
    <w:p>
      <w:pPr>
        <w:spacing w:after="120" w:line="440" w:lineRule="exact"/>
        <w:jc w:val="both"/>
        <w:rPr>
          <w:sz w:val="20"/>
          <w:highlight w:val="none"/>
        </w:rPr>
      </w:pPr>
    </w:p>
    <w:p>
      <w:pPr>
        <w:spacing w:after="120" w:line="440" w:lineRule="exact"/>
        <w:jc w:val="center"/>
        <w:rPr>
          <w:sz w:val="20"/>
          <w:highlight w:val="none"/>
        </w:rPr>
      </w:pP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pacing w:line="720" w:lineRule="exact"/>
        <w:jc w:val="center"/>
        <w:rPr>
          <w:rFonts w:hint="eastAsia" w:ascii="黑体" w:hAnsi="宋体" w:eastAsia="黑体"/>
          <w:color w:val="000000"/>
          <w:sz w:val="24"/>
          <w:szCs w:val="24"/>
          <w:highlight w:val="none"/>
        </w:rPr>
        <w:sectPr>
          <w:footerReference r:id="rId10" w:type="first"/>
          <w:footerReference r:id="rId9" w:type="default"/>
          <w:pgSz w:w="11906" w:h="16838"/>
          <w:pgMar w:top="1610" w:right="1474" w:bottom="1304" w:left="1474" w:header="851" w:footer="684" w:gutter="0"/>
          <w:pgNumType w:fmt="decimal"/>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bidi w:val="0"/>
        <w:jc w:val="center"/>
        <w:rPr>
          <w:sz w:val="28"/>
          <w:szCs w:val="28"/>
          <w:highlight w:val="none"/>
        </w:rPr>
      </w:pPr>
      <w:r>
        <w:rPr>
          <w:rFonts w:hint="eastAsia"/>
          <w:sz w:val="28"/>
          <w:szCs w:val="28"/>
          <w:highlight w:val="none"/>
        </w:rPr>
        <w:t>目录</w:t>
      </w:r>
    </w:p>
    <w:p>
      <w:pPr>
        <w:widowControl/>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pacing w:line="480" w:lineRule="exact"/>
        <w:rPr>
          <w:rFonts w:hint="eastAsia" w:ascii="宋体" w:hAnsi="宋体"/>
          <w:sz w:val="24"/>
          <w:szCs w:val="22"/>
          <w:highlight w:val="none"/>
        </w:rPr>
      </w:pPr>
      <w:r>
        <w:rPr>
          <w:rFonts w:hint="eastAsia" w:ascii="宋体" w:hAnsi="宋体"/>
          <w:sz w:val="24"/>
          <w:szCs w:val="22"/>
          <w:highlight w:val="none"/>
        </w:rPr>
        <w:t>1、响应函</w:t>
      </w:r>
    </w:p>
    <w:p>
      <w:pP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rPr>
          <w:rFonts w:hint="eastAsia" w:ascii="宋体" w:hAnsi="宋体"/>
          <w:b/>
          <w:szCs w:val="21"/>
          <w:highlight w:val="none"/>
        </w:rPr>
      </w:pPr>
      <w:bookmarkStart w:id="120" w:name="_Toc152045791"/>
      <w:bookmarkStart w:id="121" w:name="_Toc246997102"/>
      <w:bookmarkStart w:id="122" w:name="_Toc246996359"/>
      <w:bookmarkStart w:id="123" w:name="_Toc144974860"/>
      <w:bookmarkStart w:id="124" w:name="_Toc247085877"/>
      <w:bookmarkStart w:id="125" w:name="_Toc152042580"/>
      <w:bookmarkStart w:id="126" w:name="_Toc179632811"/>
      <w:bookmarkStart w:id="127" w:name="_Toc179715757"/>
      <w:bookmarkStart w:id="128" w:name="_Toc357693185"/>
      <w:bookmarkStart w:id="129" w:name="_Toc357675754"/>
      <w:bookmarkStart w:id="130" w:name="_Toc357693995"/>
      <w:bookmarkStart w:id="131" w:name="_Toc357682076"/>
      <w:bookmarkStart w:id="132" w:name="_Toc357682117"/>
      <w:bookmarkStart w:id="133" w:name="_Toc357696413"/>
      <w:bookmarkStart w:id="134" w:name="_Toc357695534"/>
      <w:bookmarkStart w:id="135" w:name="_Toc357681973"/>
      <w:bookmarkStart w:id="136" w:name="_Toc144974468"/>
      <w:bookmarkStart w:id="137" w:name="_Toc152047264"/>
    </w:p>
    <w:p>
      <w:pPr>
        <w:rPr>
          <w:rFonts w:hint="eastAsia" w:ascii="宋体" w:hAnsi="宋体"/>
          <w:b/>
          <w:szCs w:val="21"/>
          <w:highlight w:val="none"/>
        </w:rPr>
      </w:pPr>
      <w:r>
        <w:rPr>
          <w:rFonts w:ascii="宋体" w:hAnsi="宋体"/>
          <w:b/>
          <w:szCs w:val="21"/>
          <w:highlight w:val="none"/>
        </w:rPr>
        <w:br w:type="page"/>
      </w:r>
    </w:p>
    <w:p>
      <w:pPr>
        <w:bidi w:val="0"/>
        <w:jc w:val="center"/>
        <w:rPr>
          <w:rFonts w:hint="eastAsia" w:ascii="宋体" w:hAnsi="宋体" w:eastAsia="宋体"/>
          <w:b/>
          <w:szCs w:val="30"/>
          <w:highlight w:val="none"/>
        </w:rPr>
      </w:pPr>
      <w:bookmarkStart w:id="138" w:name="_Toc456522634"/>
      <w:r>
        <w:rPr>
          <w:rFonts w:hint="eastAsia" w:ascii="黑体" w:hAnsi="黑体" w:eastAsia="黑体" w:cs="黑体"/>
          <w:sz w:val="28"/>
          <w:szCs w:val="28"/>
          <w:highlight w:val="none"/>
        </w:rPr>
        <w:t>评审索引（速查表）</w:t>
      </w:r>
      <w:bookmarkEnd w:id="138"/>
    </w:p>
    <w:p>
      <w:pPr>
        <w:rPr>
          <w:rFonts w:hint="eastAsia"/>
          <w:szCs w:val="21"/>
          <w:highlight w:val="none"/>
        </w:rPr>
      </w:pPr>
      <w:r>
        <w:rPr>
          <w:szCs w:val="21"/>
          <w:highlight w:val="none"/>
        </w:rPr>
        <w:t>为提高评审工作效率，请供应商根据符合性审查编制索引（速查表），放在响应文件目录后面，并标出每项对应页码</w:t>
      </w:r>
    </w:p>
    <w:p>
      <w:pPr>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供应商资格</w:t>
            </w:r>
            <w:r>
              <w:rPr>
                <w:rFonts w:ascii="宋体" w:hAnsi="宋体" w:cs="宋体"/>
                <w:kern w:val="0"/>
              </w:rPr>
              <w:t>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rPr>
                <w:rFonts w:hint="default"/>
                <w:lang w:val="en-US"/>
              </w:rPr>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kern w:val="0"/>
                <w:szCs w:val="21"/>
                <w:highlight w:val="none"/>
              </w:rPr>
            </w:pPr>
            <w:r>
              <w:rPr>
                <w:rFonts w:hint="eastAsia" w:ascii="宋体" w:hAnsi="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szCs w:val="21"/>
                <w:highlight w:val="none"/>
              </w:rPr>
            </w:pPr>
            <w:r>
              <w:rPr>
                <w:rFonts w:hint="eastAsia" w:ascii="宋体" w:hAnsi="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1"/>
                <w:highlight w:val="none"/>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highlight w:val="none"/>
              </w:rPr>
            </w:pPr>
            <w:r>
              <w:rPr>
                <w:rFonts w:hint="eastAsia" w:ascii="宋体" w:hAnsi="宋体" w:cs="宋体"/>
                <w:kern w:val="0"/>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highlight w:val="none"/>
              </w:rPr>
            </w:pPr>
            <w:r>
              <w:rPr>
                <w:rFonts w:hint="eastAsia" w:ascii="宋体" w:hAnsi="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szCs w:val="21"/>
                <w:highlight w:val="none"/>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1"/>
                <w:szCs w:val="21"/>
                <w:highlight w:val="none"/>
                <w:lang w:val="en-US" w:eastAsia="zh-CN" w:bidi="ar-SA"/>
              </w:rPr>
            </w:pPr>
            <w:r>
              <w:rPr>
                <w:rFonts w:hint="eastAsia" w:ascii="宋体" w:hAnsi="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sz w:val="21"/>
                <w:szCs w:val="21"/>
                <w:highlight w:val="none"/>
                <w:lang w:val="en-US" w:eastAsia="zh-CN" w:bidi="ar-SA"/>
              </w:rPr>
            </w:pPr>
            <w:r>
              <w:rPr>
                <w:rFonts w:hint="eastAsia" w:ascii="宋体" w:hAnsi="宋体"/>
                <w:kern w:val="0"/>
                <w:szCs w:val="24"/>
              </w:rPr>
              <w:t>3.</w:t>
            </w:r>
            <w:r>
              <w:rPr>
                <w:rFonts w:hint="eastAsia" w:ascii="宋体" w:hAnsi="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bl>
    <w:p>
      <w:pPr>
        <w:spacing w:line="276" w:lineRule="auto"/>
        <w:rPr>
          <w:rFonts w:hint="eastAsia" w:ascii="宋体" w:hAnsi="宋体"/>
          <w:b/>
          <w:color w:val="000000"/>
          <w:szCs w:val="21"/>
          <w:highlight w:val="none"/>
        </w:rPr>
      </w:pPr>
    </w:p>
    <w:p>
      <w:pPr>
        <w:pStyle w:val="2"/>
        <w:rPr>
          <w:rFonts w:hint="eastAsia"/>
        </w:rPr>
      </w:pPr>
    </w:p>
    <w:p>
      <w:pPr>
        <w:pStyle w:val="41"/>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30</w:t>
      </w:r>
      <w:r>
        <w:rPr>
          <w:rFonts w:hint="eastAsia" w:hAnsi="宋体"/>
          <w:b/>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480"/>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14"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480"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762"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pStyle w:val="43"/>
              <w:spacing w:line="240" w:lineRule="auto"/>
              <w:ind w:firstLine="0" w:firstLineChars="0"/>
              <w:rPr>
                <w:rFonts w:hint="eastAsia" w:hAnsi="宋体"/>
                <w:b/>
                <w:sz w:val="24"/>
                <w:highlight w:val="none"/>
              </w:rPr>
            </w:pPr>
            <w:r>
              <w:rPr>
                <w:rFonts w:hint="eastAsia" w:ascii="宋体" w:hAnsi="宋体" w:eastAsia="宋体" w:cs="宋体"/>
                <w:color w:val="auto"/>
                <w:kern w:val="2"/>
                <w:sz w:val="21"/>
                <w:szCs w:val="21"/>
                <w:lang w:val="en-US" w:eastAsia="zh-CN" w:bidi="ar-SA"/>
              </w:rPr>
              <w:t>商务评分（30分）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经营业绩</w:t>
            </w:r>
          </w:p>
          <w:p>
            <w:pPr>
              <w:pStyle w:val="43"/>
              <w:spacing w:line="240" w:lineRule="auto"/>
              <w:ind w:firstLine="0" w:firstLineChars="0"/>
              <w:rPr>
                <w:rFonts w:ascii="宋体" w:hAnsi="宋体" w:cs="宋体"/>
                <w:kern w:val="0"/>
                <w:highlight w:val="none"/>
              </w:rPr>
            </w:pPr>
            <w:r>
              <w:rPr>
                <w:rFonts w:hint="eastAsia" w:ascii="宋体" w:hAnsi="宋体" w:eastAsia="宋体" w:cs="宋体"/>
                <w:color w:val="auto"/>
                <w:kern w:val="2"/>
                <w:sz w:val="21"/>
                <w:szCs w:val="21"/>
                <w:lang w:val="en-US" w:eastAsia="zh-CN" w:bidi="ar-SA"/>
              </w:rPr>
              <w:t>（10分）</w:t>
            </w:r>
          </w:p>
        </w:tc>
        <w:tc>
          <w:tcPr>
            <w:tcW w:w="5480" w:type="dxa"/>
            <w:tcBorders>
              <w:left w:val="single" w:color="auto" w:sz="4" w:space="0"/>
            </w:tcBorders>
            <w:noWrap w:val="0"/>
            <w:vAlign w:val="center"/>
          </w:tcPr>
          <w:p>
            <w:pPr>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人（2018同签订日期为准）承担过同类项目的情况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优：10分，良：8分，中：5分，差：2分，没有的得0分。</w:t>
            </w:r>
          </w:p>
          <w:p>
            <w:pPr>
              <w:pStyle w:val="43"/>
              <w:spacing w:line="240" w:lineRule="auto"/>
              <w:ind w:firstLine="0" w:firstLineChars="0"/>
              <w:jc w:val="left"/>
              <w:rPr>
                <w:rFonts w:ascii="宋体" w:hAnsi="宋体" w:cs="宋体"/>
                <w:kern w:val="0"/>
                <w:highlight w:val="none"/>
              </w:rPr>
            </w:pPr>
            <w:r>
              <w:rPr>
                <w:rFonts w:hint="eastAsia" w:ascii="宋体" w:hAnsi="宋体" w:eastAsia="宋体" w:cs="宋体"/>
                <w:color w:val="auto"/>
                <w:sz w:val="21"/>
                <w:szCs w:val="21"/>
              </w:rPr>
              <w:t>需提供</w:t>
            </w:r>
            <w:r>
              <w:rPr>
                <w:rFonts w:hint="eastAsia" w:ascii="宋体" w:hAnsi="宋体" w:eastAsia="宋体" w:cs="宋体"/>
                <w:color w:val="auto"/>
                <w:sz w:val="21"/>
                <w:szCs w:val="21"/>
                <w:u w:val="single"/>
              </w:rPr>
              <w:t>项目服务合同</w:t>
            </w:r>
            <w:r>
              <w:rPr>
                <w:rFonts w:hint="eastAsia" w:ascii="宋体" w:hAnsi="宋体" w:eastAsia="宋体" w:cs="宋体"/>
                <w:color w:val="auto"/>
                <w:sz w:val="21"/>
                <w:szCs w:val="21"/>
              </w:rPr>
              <w:t>复印件，并加盖</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人单位公章。</w:t>
            </w:r>
          </w:p>
        </w:tc>
        <w:tc>
          <w:tcPr>
            <w:tcW w:w="762"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pStyle w:val="43"/>
              <w:spacing w:line="240" w:lineRule="auto"/>
              <w:ind w:firstLine="0" w:firstLineChars="0"/>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财务状况</w:t>
            </w:r>
          </w:p>
          <w:p>
            <w:pPr>
              <w:pStyle w:val="43"/>
              <w:spacing w:line="240" w:lineRule="auto"/>
              <w:ind w:firstLine="0" w:firstLineChars="0"/>
              <w:rPr>
                <w:rFonts w:ascii="宋体" w:hAnsi="宋体" w:cs="宋体"/>
                <w:kern w:val="0"/>
                <w:highlight w:val="none"/>
              </w:rPr>
            </w:pPr>
            <w:r>
              <w:rPr>
                <w:rFonts w:hint="eastAsia" w:ascii="宋体" w:hAnsi="宋体" w:eastAsia="宋体" w:cs="宋体"/>
                <w:color w:val="auto"/>
                <w:kern w:val="2"/>
                <w:sz w:val="21"/>
                <w:szCs w:val="21"/>
                <w:lang w:val="en-US" w:eastAsia="zh-CN" w:bidi="ar-SA"/>
              </w:rPr>
              <w:t>（5分）</w:t>
            </w:r>
          </w:p>
        </w:tc>
        <w:tc>
          <w:tcPr>
            <w:tcW w:w="5480" w:type="dxa"/>
            <w:tcBorders>
              <w:left w:val="single" w:color="auto" w:sz="4" w:space="0"/>
            </w:tcBorders>
            <w:noWrap w:val="0"/>
            <w:vAlign w:val="center"/>
          </w:tcPr>
          <w:p>
            <w:pPr>
              <w:spacing w:line="240" w:lineRule="auto"/>
              <w:ind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人2019年-2022年企业财务情况</w:t>
            </w:r>
            <w:r>
              <w:rPr>
                <w:rFonts w:hint="eastAsia" w:ascii="宋体" w:hAnsi="宋体" w:eastAsia="宋体" w:cs="宋体"/>
                <w:color w:val="auto"/>
                <w:sz w:val="21"/>
                <w:szCs w:val="21"/>
                <w:lang w:eastAsia="zh-CN"/>
              </w:rPr>
              <w:t>：</w:t>
            </w:r>
          </w:p>
          <w:p>
            <w:pPr>
              <w:spacing w:line="24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优：5分，良：3分，中：2分，差：1分。</w:t>
            </w:r>
          </w:p>
          <w:p>
            <w:pPr>
              <w:pStyle w:val="43"/>
              <w:spacing w:line="240" w:lineRule="auto"/>
              <w:ind w:firstLine="0" w:firstLineChars="0"/>
              <w:jc w:val="left"/>
              <w:rPr>
                <w:rFonts w:ascii="宋体" w:hAnsi="宋体" w:cs="宋体"/>
                <w:kern w:val="0"/>
                <w:highlight w:val="none"/>
              </w:rPr>
            </w:pPr>
            <w:r>
              <w:rPr>
                <w:rFonts w:hint="eastAsia" w:ascii="宋体" w:hAnsi="宋体" w:eastAsia="宋体" w:cs="宋体"/>
                <w:color w:val="auto"/>
                <w:sz w:val="21"/>
                <w:szCs w:val="21"/>
              </w:rPr>
              <w:t>需提供</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人2019年-2022年的财务审计报告复印件，并加盖</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人单位公章。</w:t>
            </w:r>
          </w:p>
        </w:tc>
        <w:tc>
          <w:tcPr>
            <w:tcW w:w="762"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pStyle w:val="43"/>
              <w:spacing w:line="240" w:lineRule="auto"/>
              <w:ind w:firstLine="0" w:firstLineChars="0"/>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pacing w:line="240" w:lineRule="auto"/>
              <w:ind w:firstLine="0" w:firstLineChars="0"/>
              <w:rPr>
                <w:rFonts w:ascii="宋体" w:hAnsi="宋体" w:cs="宋体"/>
                <w:kern w:val="0"/>
                <w:highlight w:val="none"/>
              </w:rPr>
            </w:pPr>
            <w:r>
              <w:rPr>
                <w:rFonts w:hint="eastAsia" w:ascii="宋体" w:hAnsi="宋体" w:eastAsia="宋体" w:cs="宋体"/>
                <w:color w:val="auto"/>
                <w:kern w:val="2"/>
                <w:sz w:val="21"/>
                <w:szCs w:val="21"/>
                <w:lang w:val="en-US" w:eastAsia="zh-CN" w:bidi="ar-SA"/>
              </w:rPr>
              <w:t>规章管理制度（5分）</w:t>
            </w:r>
          </w:p>
        </w:tc>
        <w:tc>
          <w:tcPr>
            <w:tcW w:w="5480" w:type="dxa"/>
            <w:tcBorders>
              <w:left w:val="single" w:color="auto" w:sz="4" w:space="0"/>
            </w:tcBorders>
            <w:noWrap w:val="0"/>
            <w:vAlign w:val="center"/>
          </w:tcPr>
          <w:p>
            <w:pPr>
              <w:pStyle w:val="43"/>
              <w:spacing w:line="240" w:lineRule="auto"/>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人的各项规章管理制度是否详细、合理</w:t>
            </w:r>
            <w:r>
              <w:rPr>
                <w:rFonts w:hint="eastAsia" w:ascii="宋体" w:hAnsi="宋体" w:eastAsia="宋体" w:cs="宋体"/>
                <w:color w:val="auto"/>
                <w:sz w:val="21"/>
                <w:szCs w:val="21"/>
                <w:lang w:eastAsia="zh-CN"/>
              </w:rPr>
              <w:t>：</w:t>
            </w:r>
          </w:p>
          <w:p>
            <w:pPr>
              <w:pStyle w:val="43"/>
              <w:spacing w:line="240" w:lineRule="auto"/>
              <w:ind w:firstLine="0" w:firstLineChars="0"/>
              <w:jc w:val="left"/>
              <w:rPr>
                <w:rFonts w:ascii="宋体" w:hAnsi="宋体" w:cs="宋体"/>
                <w:kern w:val="0"/>
                <w:highlight w:val="none"/>
              </w:rPr>
            </w:pPr>
            <w:r>
              <w:rPr>
                <w:rFonts w:hint="eastAsia" w:ascii="宋体" w:hAnsi="宋体" w:eastAsia="宋体" w:cs="宋体"/>
                <w:color w:val="auto"/>
                <w:sz w:val="21"/>
                <w:szCs w:val="21"/>
              </w:rPr>
              <w:t>优：5分，良：3分，中：2分，差：1分。</w:t>
            </w:r>
          </w:p>
        </w:tc>
        <w:tc>
          <w:tcPr>
            <w:tcW w:w="762"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pStyle w:val="43"/>
              <w:spacing w:line="240" w:lineRule="auto"/>
              <w:ind w:firstLine="0" w:firstLineChars="0"/>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pacing w:line="240" w:lineRule="auto"/>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资信情况与履约能力</w:t>
            </w:r>
          </w:p>
          <w:p>
            <w:pPr>
              <w:pStyle w:val="43"/>
              <w:spacing w:line="240" w:lineRule="auto"/>
              <w:ind w:firstLine="0" w:firstLineChars="0"/>
              <w:rPr>
                <w:rFonts w:hint="eastAsia" w:ascii="宋体" w:hAnsi="宋体" w:cs="宋体"/>
                <w:kern w:val="0"/>
                <w:highlight w:val="none"/>
              </w:rPr>
            </w:pPr>
            <w:r>
              <w:rPr>
                <w:rFonts w:hint="eastAsia" w:ascii="宋体" w:hAnsi="宋体" w:eastAsia="宋体" w:cs="宋体"/>
                <w:color w:val="auto"/>
                <w:kern w:val="2"/>
                <w:sz w:val="21"/>
                <w:szCs w:val="21"/>
                <w:lang w:val="en-US" w:eastAsia="zh-CN" w:bidi="ar-SA"/>
              </w:rPr>
              <w:t>（10分）</w:t>
            </w:r>
          </w:p>
        </w:tc>
        <w:tc>
          <w:tcPr>
            <w:tcW w:w="5480" w:type="dxa"/>
            <w:tcBorders>
              <w:left w:val="single" w:color="auto" w:sz="4" w:space="0"/>
            </w:tcBorders>
            <w:noWrap w:val="0"/>
            <w:vAlign w:val="center"/>
          </w:tcPr>
          <w:p>
            <w:pPr>
              <w:pStyle w:val="43"/>
              <w:spacing w:line="240" w:lineRule="auto"/>
              <w:ind w:firstLine="0" w:firstLineChars="0"/>
              <w:jc w:val="left"/>
              <w:rPr>
                <w:rFonts w:hint="eastAsia" w:ascii="宋体" w:hAnsi="宋体" w:cs="宋体"/>
                <w:kern w:val="0"/>
                <w:szCs w:val="22"/>
                <w:highlight w:val="none"/>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人的资信情况是否良好与是否具有较好的履约能力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优：10分，良：8分，中：5分，差：2分。</w:t>
            </w:r>
          </w:p>
        </w:tc>
        <w:tc>
          <w:tcPr>
            <w:tcW w:w="762" w:type="dxa"/>
            <w:tcBorders>
              <w:left w:val="single" w:color="auto" w:sz="4" w:space="0"/>
            </w:tcBorders>
            <w:noWrap w:val="0"/>
            <w:vAlign w:val="top"/>
          </w:tcPr>
          <w:p>
            <w:pPr>
              <w:widowControl/>
              <w:jc w:val="left"/>
              <w:rPr>
                <w:rFonts w:hint="eastAsia" w:ascii="宋体" w:hAnsi="宋体" w:cs="宋体"/>
                <w:kern w:val="0"/>
                <w:highlight w:val="none"/>
              </w:rPr>
            </w:pPr>
          </w:p>
        </w:tc>
      </w:tr>
    </w:tbl>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30</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392"/>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392"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801"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pStyle w:val="43"/>
              <w:ind w:firstLine="0" w:firstLineChars="0"/>
              <w:rPr>
                <w:rFonts w:hint="eastAsia" w:ascii="宋体" w:hAnsi="宋体"/>
                <w:b/>
                <w:szCs w:val="21"/>
                <w:highlight w:val="none"/>
              </w:rPr>
            </w:pPr>
            <w:r>
              <w:rPr>
                <w:rFonts w:hint="eastAsia" w:ascii="宋体" w:hAnsi="宋体" w:eastAsia="宋体" w:cs="宋体"/>
                <w:bCs/>
                <w:color w:val="auto"/>
                <w:sz w:val="21"/>
                <w:szCs w:val="21"/>
              </w:rPr>
              <w:t>技术评分（50分）</w:t>
            </w:r>
          </w:p>
        </w:tc>
        <w:tc>
          <w:tcPr>
            <w:tcW w:w="1459" w:type="dxa"/>
            <w:noWrap w:val="0"/>
            <w:vAlign w:val="center"/>
          </w:tcPr>
          <w:p>
            <w:pPr>
              <w:pStyle w:val="43"/>
              <w:ind w:firstLine="0" w:firstLineChars="0"/>
              <w:rPr>
                <w:rFonts w:ascii="宋体" w:hAnsi="宋体" w:cs="宋体"/>
                <w:kern w:val="0"/>
                <w:highlight w:val="none"/>
              </w:rPr>
            </w:pPr>
            <w:r>
              <w:rPr>
                <w:rFonts w:hint="eastAsia" w:ascii="宋体" w:hAnsi="宋体" w:eastAsia="宋体" w:cs="宋体"/>
                <w:color w:val="auto"/>
                <w:sz w:val="21"/>
                <w:szCs w:val="21"/>
              </w:rPr>
              <w:t>项目理解程度（5分）</w:t>
            </w:r>
          </w:p>
        </w:tc>
        <w:tc>
          <w:tcPr>
            <w:tcW w:w="5392"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人对项目整体的理解和认识的响应程度</w:t>
            </w:r>
            <w:r>
              <w:rPr>
                <w:rFonts w:hint="eastAsia" w:ascii="宋体" w:hAnsi="宋体" w:eastAsia="宋体" w:cs="宋体"/>
                <w:color w:val="auto"/>
                <w:sz w:val="21"/>
                <w:szCs w:val="21"/>
                <w:lang w:eastAsia="zh-CN"/>
              </w:rPr>
              <w:t>：</w:t>
            </w:r>
          </w:p>
          <w:p>
            <w:pPr>
              <w:pStyle w:val="43"/>
              <w:ind w:firstLine="0" w:firstLineChars="0"/>
              <w:jc w:val="left"/>
              <w:rPr>
                <w:rFonts w:ascii="宋体" w:hAnsi="宋体" w:cs="宋体"/>
                <w:kern w:val="0"/>
                <w:highlight w:val="none"/>
              </w:rPr>
            </w:pPr>
            <w:r>
              <w:rPr>
                <w:rFonts w:hint="eastAsia" w:ascii="宋体" w:hAnsi="宋体" w:eastAsia="宋体" w:cs="宋体"/>
                <w:color w:val="auto"/>
                <w:sz w:val="21"/>
                <w:szCs w:val="21"/>
              </w:rPr>
              <w:t>优：5分，良：3分，中：2分，差：1分。</w:t>
            </w:r>
          </w:p>
        </w:tc>
        <w:tc>
          <w:tcPr>
            <w:tcW w:w="801"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pStyle w:val="43"/>
              <w:ind w:firstLine="0" w:firstLineChars="0"/>
              <w:rPr>
                <w:rFonts w:ascii="宋体" w:hAnsi="宋体" w:cs="宋体"/>
                <w:szCs w:val="21"/>
                <w:highlight w:val="none"/>
                <w:shd w:val="clear" w:color="auto" w:fill="FFFFFF"/>
              </w:rPr>
            </w:pPr>
          </w:p>
        </w:tc>
        <w:tc>
          <w:tcPr>
            <w:tcW w:w="1459" w:type="dxa"/>
            <w:noWrap w:val="0"/>
            <w:vAlign w:val="center"/>
          </w:tcPr>
          <w:p>
            <w:pPr>
              <w:pStyle w:val="43"/>
              <w:ind w:firstLine="0" w:firstLineChars="0"/>
              <w:rPr>
                <w:rFonts w:ascii="宋体" w:hAnsi="宋体" w:cs="宋体"/>
                <w:kern w:val="0"/>
                <w:highlight w:val="none"/>
              </w:rPr>
            </w:pP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服务计划（5分）</w:t>
            </w:r>
          </w:p>
        </w:tc>
        <w:tc>
          <w:tcPr>
            <w:tcW w:w="5392"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人所投报服务计划的合理性、可行性</w:t>
            </w:r>
            <w:r>
              <w:rPr>
                <w:rFonts w:hint="eastAsia" w:ascii="宋体" w:hAnsi="宋体" w:eastAsia="宋体" w:cs="宋体"/>
                <w:color w:val="auto"/>
                <w:sz w:val="21"/>
                <w:szCs w:val="21"/>
                <w:lang w:eastAsia="zh-CN"/>
              </w:rPr>
              <w:t>：</w:t>
            </w:r>
          </w:p>
          <w:p>
            <w:pPr>
              <w:pStyle w:val="43"/>
              <w:ind w:firstLine="0" w:firstLineChars="0"/>
              <w:jc w:val="left"/>
              <w:rPr>
                <w:rFonts w:ascii="宋体" w:hAnsi="宋体" w:cs="宋体"/>
                <w:kern w:val="0"/>
                <w:highlight w:val="none"/>
              </w:rPr>
            </w:pPr>
            <w:r>
              <w:rPr>
                <w:rFonts w:hint="eastAsia" w:ascii="宋体" w:hAnsi="宋体" w:eastAsia="宋体" w:cs="宋体"/>
                <w:color w:val="auto"/>
                <w:sz w:val="21"/>
                <w:szCs w:val="21"/>
              </w:rPr>
              <w:t>优：优：5分，良：3分，中：2分，差：1分。</w:t>
            </w:r>
          </w:p>
        </w:tc>
        <w:tc>
          <w:tcPr>
            <w:tcW w:w="801" w:type="dxa"/>
            <w:noWrap w:val="0"/>
            <w:vAlign w:val="center"/>
          </w:tcPr>
          <w:p>
            <w:pPr>
              <w:widowControl/>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pStyle w:val="43"/>
              <w:ind w:firstLine="0" w:firstLineChars="0"/>
              <w:rPr>
                <w:rFonts w:ascii="宋体" w:hAnsi="宋体" w:cs="宋体"/>
                <w:szCs w:val="21"/>
                <w:highlight w:val="none"/>
                <w:shd w:val="clear" w:color="auto" w:fill="FFFFFF"/>
              </w:rPr>
            </w:pPr>
          </w:p>
        </w:tc>
        <w:tc>
          <w:tcPr>
            <w:tcW w:w="1459" w:type="dxa"/>
            <w:noWrap w:val="0"/>
            <w:vAlign w:val="center"/>
          </w:tcPr>
          <w:p>
            <w:pPr>
              <w:pStyle w:val="43"/>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服务水平</w:t>
            </w:r>
          </w:p>
          <w:p>
            <w:pPr>
              <w:pStyle w:val="43"/>
              <w:ind w:firstLine="0" w:firstLineChars="0"/>
              <w:rPr>
                <w:rFonts w:ascii="宋体" w:hAnsi="宋体" w:cs="宋体"/>
                <w:kern w:val="0"/>
                <w:highlight w:val="none"/>
              </w:rPr>
            </w:pPr>
            <w:r>
              <w:rPr>
                <w:rFonts w:hint="eastAsia" w:ascii="宋体" w:hAnsi="宋体" w:eastAsia="宋体" w:cs="宋体"/>
                <w:color w:val="auto"/>
                <w:sz w:val="21"/>
                <w:szCs w:val="21"/>
              </w:rPr>
              <w:t>（20分）</w:t>
            </w:r>
          </w:p>
        </w:tc>
        <w:tc>
          <w:tcPr>
            <w:tcW w:w="5392" w:type="dxa"/>
            <w:noWrap w:val="0"/>
            <w:vAlign w:val="center"/>
          </w:tcPr>
          <w:p>
            <w:pPr>
              <w:pStyle w:val="43"/>
              <w:ind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考查、对比</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人的服务水平，包括相关设备的维护能力及经验、售后服务等情况</w:t>
            </w:r>
            <w:r>
              <w:rPr>
                <w:rFonts w:hint="eastAsia" w:ascii="宋体" w:hAnsi="宋体" w:eastAsia="宋体" w:cs="宋体"/>
                <w:color w:val="auto"/>
                <w:sz w:val="21"/>
                <w:szCs w:val="21"/>
                <w:lang w:eastAsia="zh-CN"/>
              </w:rPr>
              <w:t>：</w:t>
            </w:r>
          </w:p>
          <w:p>
            <w:pPr>
              <w:pStyle w:val="43"/>
              <w:ind w:firstLine="0" w:firstLineChars="0"/>
              <w:jc w:val="left"/>
              <w:rPr>
                <w:rFonts w:ascii="宋体" w:hAnsi="宋体" w:cs="宋体"/>
                <w:kern w:val="0"/>
                <w:highlight w:val="none"/>
              </w:rPr>
            </w:pPr>
            <w:r>
              <w:rPr>
                <w:rFonts w:hint="eastAsia" w:ascii="宋体" w:hAnsi="宋体" w:eastAsia="宋体" w:cs="宋体"/>
                <w:color w:val="auto"/>
                <w:sz w:val="21"/>
                <w:szCs w:val="21"/>
              </w:rPr>
              <w:t>优：20分，良：15分，中：10分，差：5分。</w:t>
            </w:r>
          </w:p>
        </w:tc>
        <w:tc>
          <w:tcPr>
            <w:tcW w:w="801"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pStyle w:val="43"/>
              <w:ind w:firstLine="0" w:firstLineChars="0"/>
              <w:rPr>
                <w:rFonts w:ascii="宋体" w:hAnsi="宋体" w:cs="宋体"/>
                <w:szCs w:val="21"/>
                <w:highlight w:val="none"/>
                <w:shd w:val="clear" w:color="auto" w:fill="FFFFFF"/>
              </w:rPr>
            </w:pPr>
          </w:p>
        </w:tc>
        <w:tc>
          <w:tcPr>
            <w:tcW w:w="1459" w:type="dxa"/>
            <w:noWrap w:val="0"/>
            <w:vAlign w:val="center"/>
          </w:tcPr>
          <w:p>
            <w:pPr>
              <w:pStyle w:val="43"/>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技术响应程度</w:t>
            </w:r>
          </w:p>
          <w:p>
            <w:pPr>
              <w:pStyle w:val="43"/>
              <w:ind w:firstLine="0" w:firstLineChars="0"/>
              <w:rPr>
                <w:rFonts w:ascii="宋体" w:hAnsi="宋体" w:cs="宋体"/>
                <w:kern w:val="0"/>
                <w:highlight w:val="none"/>
              </w:rPr>
            </w:pPr>
            <w:r>
              <w:rPr>
                <w:rFonts w:hint="eastAsia" w:ascii="宋体" w:hAnsi="宋体" w:eastAsia="宋体" w:cs="宋体"/>
                <w:color w:val="auto"/>
                <w:sz w:val="21"/>
                <w:szCs w:val="21"/>
              </w:rPr>
              <w:t>（20分）</w:t>
            </w:r>
          </w:p>
        </w:tc>
        <w:tc>
          <w:tcPr>
            <w:tcW w:w="5392" w:type="dxa"/>
            <w:noWrap w:val="0"/>
            <w:vAlign w:val="center"/>
          </w:tcPr>
          <w:p>
            <w:pPr>
              <w:pStyle w:val="43"/>
              <w:ind w:firstLine="0" w:firstLineChars="0"/>
              <w:jc w:val="left"/>
              <w:rPr>
                <w:rFonts w:ascii="宋体" w:hAnsi="宋体" w:cs="宋体"/>
                <w:kern w:val="0"/>
                <w:highlight w:val="none"/>
              </w:rPr>
            </w:pPr>
            <w:r>
              <w:rPr>
                <w:rFonts w:hint="eastAsia" w:ascii="宋体" w:hAnsi="宋体" w:eastAsia="宋体" w:cs="宋体"/>
                <w:color w:val="auto"/>
                <w:sz w:val="21"/>
                <w:szCs w:val="21"/>
              </w:rPr>
              <w:t>考查、对比所有</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人对技术部分响应程度,完全满足得20分，未标▲部分，有一项不满足扣2分，标▲部分，有一项不满足扣5分，扣完为止。</w:t>
            </w:r>
          </w:p>
        </w:tc>
        <w:tc>
          <w:tcPr>
            <w:tcW w:w="801" w:type="dxa"/>
            <w:noWrap w:val="0"/>
            <w:vAlign w:val="center"/>
          </w:tcPr>
          <w:p>
            <w:pPr>
              <w:widowControl/>
              <w:jc w:val="left"/>
              <w:rPr>
                <w:rFonts w:hint="eastAsia" w:ascii="宋体" w:hAnsi="宋体" w:cs="宋体"/>
                <w:kern w:val="0"/>
                <w:highlight w:val="none"/>
              </w:rPr>
            </w:pPr>
          </w:p>
        </w:tc>
      </w:tr>
    </w:tbl>
    <w:p>
      <w:pPr>
        <w:bidi w:val="0"/>
        <w:rPr>
          <w:rFonts w:hint="eastAsia"/>
          <w:highlight w:val="none"/>
        </w:rPr>
        <w:sectPr>
          <w:pgSz w:w="11906" w:h="16838"/>
          <w:pgMar w:top="1610" w:right="1474" w:bottom="1304" w:left="1474" w:header="851" w:footer="684" w:gutter="0"/>
          <w:pgNumType w:fmt="decimal"/>
          <w:cols w:space="720" w:num="1"/>
          <w:titlePg/>
          <w:docGrid w:type="lines" w:linePitch="312" w:charSpace="0"/>
        </w:sectPr>
      </w:pPr>
    </w:p>
    <w:p>
      <w:pPr>
        <w:rPr>
          <w:sz w:val="32"/>
          <w:szCs w:val="32"/>
          <w:highlight w:val="none"/>
        </w:rPr>
      </w:pPr>
      <w:r>
        <w:rPr>
          <w:rFonts w:hint="eastAsia" w:ascii="宋体" w:hAnsi="宋体" w:eastAsia="宋体" w:cs="宋体"/>
          <w:sz w:val="32"/>
          <w:szCs w:val="32"/>
          <w:highlight w:val="none"/>
        </w:rPr>
        <w:t>第一部分：商务服务响应文件</w:t>
      </w:r>
    </w:p>
    <w:p>
      <w:pPr>
        <w:bidi w:val="0"/>
        <w:jc w:val="center"/>
        <w:rPr>
          <w:sz w:val="32"/>
          <w:szCs w:val="32"/>
          <w:highlight w:val="none"/>
        </w:rPr>
      </w:pPr>
      <w:r>
        <w:rPr>
          <w:rFonts w:hint="eastAsia"/>
          <w:sz w:val="32"/>
          <w:szCs w:val="32"/>
          <w:highlight w:val="none"/>
        </w:rPr>
        <w:t>一、响应函</w:t>
      </w:r>
    </w:p>
    <w:p>
      <w:pPr>
        <w:spacing w:line="440" w:lineRule="exact"/>
        <w:rPr>
          <w:szCs w:val="21"/>
          <w:highlight w:val="none"/>
          <w:u w:val="none"/>
        </w:rPr>
      </w:pPr>
      <w:r>
        <w:rPr>
          <w:rFonts w:hint="eastAsia"/>
          <w:szCs w:val="21"/>
          <w:highlight w:val="none"/>
          <w:u w:val="none"/>
        </w:rPr>
        <w:t>数字江门网络建设有限公司</w:t>
      </w:r>
      <w:r>
        <w:rPr>
          <w:szCs w:val="21"/>
          <w:highlight w:val="none"/>
          <w:u w:val="none"/>
        </w:rPr>
        <w:t>：</w:t>
      </w:r>
    </w:p>
    <w:p>
      <w:pPr>
        <w:ind w:firstLine="420" w:firstLineChars="200"/>
        <w:rPr>
          <w:szCs w:val="21"/>
          <w:highlight w:val="none"/>
        </w:rPr>
      </w:pPr>
    </w:p>
    <w:p>
      <w:pPr>
        <w:ind w:firstLine="420" w:firstLineChars="200"/>
        <w:rPr>
          <w:rFonts w:hint="eastAsia" w:ascii="宋体" w:hAnsi="宋体"/>
          <w:szCs w:val="21"/>
          <w:highlight w:val="none"/>
        </w:rPr>
      </w:pPr>
      <w:r>
        <w:rPr>
          <w:szCs w:val="21"/>
          <w:highlight w:val="none"/>
        </w:rPr>
        <w:t>1．我方已仔细研究了</w:t>
      </w:r>
      <w:r>
        <w:rPr>
          <w:rFonts w:hint="default"/>
          <w:kern w:val="2"/>
          <w:sz w:val="21"/>
          <w:szCs w:val="21"/>
          <w:highlight w:val="none"/>
          <w:lang w:val="en-US" w:eastAsia="zh-CN" w:bidi="ar-SA"/>
        </w:rPr>
        <w:t>数字江门网络建设有限公司信息技术应用创新项目运维服务</w:t>
      </w:r>
      <w:r>
        <w:rPr>
          <w:rFonts w:hint="eastAsia"/>
          <w:kern w:val="2"/>
          <w:sz w:val="21"/>
          <w:szCs w:val="21"/>
          <w:highlight w:val="none"/>
          <w:lang w:val="en-US" w:eastAsia="zh-CN" w:bidi="ar-SA"/>
        </w:rPr>
        <w:t>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响应文件电子版（U盘）一份）。</w:t>
      </w:r>
      <w:r>
        <w:rPr>
          <w:rFonts w:hint="eastAsia" w:hAnsi="宋体"/>
          <w:bCs/>
          <w:szCs w:val="21"/>
          <w:highlight w:val="none"/>
        </w:rPr>
        <w:t>包括以下内容</w:t>
      </w:r>
      <w:r>
        <w:rPr>
          <w:rFonts w:hint="eastAsia" w:ascii="宋体" w:hAnsi="宋体"/>
          <w:szCs w:val="21"/>
          <w:highlight w:val="none"/>
        </w:rPr>
        <w:t>：</w:t>
      </w:r>
    </w:p>
    <w:p>
      <w:pP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pacing w:after="156" w:afterLines="50"/>
        <w:ind w:firstLine="240"/>
        <w:rPr>
          <w:rFonts w:hint="eastAsia" w:ascii="宋体" w:hAnsi="宋体" w:cs="宋体"/>
          <w:highlight w:val="none"/>
        </w:rPr>
      </w:pPr>
      <w:r>
        <w:rPr>
          <w:rFonts w:hint="eastAsia" w:ascii="宋体" w:hAnsi="宋体" w:cs="宋体"/>
          <w:highlight w:val="none"/>
        </w:rPr>
        <w:t>我方在此声明：</w:t>
      </w:r>
    </w:p>
    <w:p>
      <w:pP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pacing w:line="440" w:lineRule="exact"/>
        <w:rPr>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highlight w:val="none"/>
        </w:rPr>
      </w:pPr>
    </w:p>
    <w:p>
      <w:pPr>
        <w:pStyle w:val="4"/>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120"/>
      <w:bookmarkEnd w:id="121"/>
      <w:bookmarkEnd w:id="122"/>
      <w:bookmarkEnd w:id="123"/>
      <w:bookmarkEnd w:id="124"/>
      <w:bookmarkEnd w:id="125"/>
      <w:bookmarkEnd w:id="126"/>
    </w:p>
    <w:p>
      <w:pP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pacing w:line="440" w:lineRule="exact"/>
        <w:rPr>
          <w:szCs w:val="21"/>
          <w:highlight w:val="none"/>
        </w:rPr>
      </w:pPr>
      <w:r>
        <w:rPr>
          <w:szCs w:val="21"/>
          <w:highlight w:val="none"/>
        </w:rPr>
        <w:t>地址：</w:t>
      </w:r>
      <w:r>
        <w:rPr>
          <w:szCs w:val="21"/>
          <w:highlight w:val="none"/>
          <w:u w:val="single"/>
        </w:rPr>
        <w:t xml:space="preserve">                                   </w:t>
      </w:r>
    </w:p>
    <w:p>
      <w:pP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pacing w:line="440" w:lineRule="exact"/>
        <w:rPr>
          <w:szCs w:val="21"/>
          <w:highlight w:val="none"/>
        </w:rPr>
      </w:pPr>
      <w:r>
        <w:rPr>
          <w:szCs w:val="21"/>
          <w:highlight w:val="none"/>
        </w:rPr>
        <w:t>经营期限：</w:t>
      </w:r>
      <w:r>
        <w:rPr>
          <w:szCs w:val="21"/>
          <w:highlight w:val="none"/>
          <w:u w:val="single"/>
        </w:rPr>
        <w:t xml:space="preserve">                               </w:t>
      </w:r>
    </w:p>
    <w:p>
      <w:pP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pacing w:line="440" w:lineRule="exact"/>
        <w:ind w:firstLine="420" w:firstLineChars="200"/>
        <w:rPr>
          <w:szCs w:val="21"/>
          <w:highlight w:val="none"/>
        </w:rPr>
      </w:pPr>
      <w:r>
        <w:rPr>
          <w:szCs w:val="21"/>
          <w:highlight w:val="none"/>
        </w:rPr>
        <w:t>特此证明。</w:t>
      </w:r>
    </w:p>
    <w:p>
      <w:pP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jc w:val="center"/>
              <w:rPr>
                <w:rFonts w:ascii="Times New Roman" w:hAnsi="宋体"/>
                <w:color w:val="000000"/>
                <w:sz w:val="28"/>
                <w:szCs w:val="28"/>
                <w:highlight w:val="none"/>
              </w:rPr>
            </w:pPr>
          </w:p>
          <w:p>
            <w:pP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ind w:left="-55"/>
              <w:jc w:val="center"/>
              <w:rPr>
                <w:rFonts w:ascii="Times New Roman" w:hAnsi="Times New Roman"/>
                <w:bCs/>
                <w:color w:val="000000"/>
                <w:szCs w:val="21"/>
                <w:highlight w:val="none"/>
              </w:rPr>
            </w:pPr>
          </w:p>
        </w:tc>
      </w:tr>
    </w:tbl>
    <w:p>
      <w:pPr>
        <w:pStyle w:val="6"/>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adjustRightInd w:val="0"/>
              <w:spacing w:line="312" w:lineRule="atLeast"/>
              <w:jc w:val="center"/>
              <w:textAlignment w:val="baseline"/>
              <w:rPr>
                <w:rFonts w:ascii="Times New Roman" w:hAnsi="宋体"/>
                <w:color w:val="000000"/>
                <w:sz w:val="28"/>
                <w:szCs w:val="28"/>
                <w:highlight w:val="none"/>
              </w:rPr>
            </w:pPr>
          </w:p>
          <w:p>
            <w:pP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adjustRightInd w:val="0"/>
              <w:spacing w:line="312" w:lineRule="atLeast"/>
              <w:jc w:val="center"/>
              <w:textAlignment w:val="baseline"/>
              <w:rPr>
                <w:rFonts w:ascii="Times New Roman" w:hAnsi="宋体"/>
                <w:color w:val="000000"/>
                <w:sz w:val="28"/>
                <w:szCs w:val="28"/>
                <w:highlight w:val="none"/>
              </w:rPr>
            </w:pPr>
          </w:p>
          <w:p>
            <w:pP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adjustRightInd w:val="0"/>
              <w:spacing w:line="500" w:lineRule="exact"/>
              <w:jc w:val="center"/>
              <w:textAlignment w:val="baseline"/>
              <w:rPr>
                <w:rFonts w:ascii="宋体" w:hAnsi="宋体"/>
                <w:b/>
                <w:bCs/>
                <w:color w:val="000000"/>
                <w:sz w:val="28"/>
                <w:szCs w:val="28"/>
                <w:highlight w:val="none"/>
              </w:rPr>
            </w:pPr>
          </w:p>
          <w:p>
            <w:pPr>
              <w:adjustRightInd w:val="0"/>
              <w:spacing w:line="312" w:lineRule="atLeast"/>
              <w:textAlignment w:val="baseline"/>
              <w:rPr>
                <w:rFonts w:ascii="Times New Roman" w:hAnsi="宋体"/>
                <w:color w:val="000000"/>
                <w:highlight w:val="none"/>
              </w:rPr>
            </w:pPr>
          </w:p>
        </w:tc>
      </w:tr>
    </w:tbl>
    <w:p>
      <w:pP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pacing w:line="440" w:lineRule="exact"/>
        <w:jc w:val="right"/>
        <w:rPr>
          <w:rFonts w:hint="eastAsia"/>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127"/>
    <w:bookmarkEnd w:id="128"/>
    <w:bookmarkEnd w:id="129"/>
    <w:bookmarkEnd w:id="130"/>
    <w:bookmarkEnd w:id="131"/>
    <w:bookmarkEnd w:id="132"/>
    <w:bookmarkEnd w:id="133"/>
    <w:bookmarkEnd w:id="134"/>
    <w:bookmarkEnd w:id="135"/>
    <w:bookmarkEnd w:id="136"/>
    <w:bookmarkEnd w:id="137"/>
    <w:p>
      <w:pPr>
        <w:pStyle w:val="4"/>
        <w:jc w:val="center"/>
        <w:rPr>
          <w:b w:val="0"/>
          <w:highlight w:val="none"/>
        </w:rPr>
      </w:pPr>
      <w:bookmarkStart w:id="139" w:name="_Toc152042581"/>
      <w:bookmarkStart w:id="140" w:name="_Toc246996360"/>
      <w:bookmarkStart w:id="141" w:name="_Toc246997103"/>
      <w:bookmarkStart w:id="142" w:name="_Toc179632812"/>
      <w:bookmarkStart w:id="143" w:name="_Toc152045792"/>
      <w:bookmarkStart w:id="144" w:name="_Toc144974861"/>
      <w:bookmarkStart w:id="145" w:name="_Toc247085878"/>
      <w:r>
        <w:rPr>
          <w:rFonts w:hint="eastAsia"/>
          <w:b w:val="0"/>
          <w:highlight w:val="none"/>
        </w:rPr>
        <w:t>三</w:t>
      </w:r>
      <w:r>
        <w:rPr>
          <w:b w:val="0"/>
          <w:highlight w:val="none"/>
        </w:rPr>
        <w:t>、授权委托书</w:t>
      </w:r>
      <w:bookmarkEnd w:id="139"/>
      <w:bookmarkEnd w:id="140"/>
      <w:bookmarkEnd w:id="141"/>
      <w:bookmarkEnd w:id="142"/>
      <w:bookmarkEnd w:id="143"/>
      <w:bookmarkEnd w:id="144"/>
      <w:bookmarkEnd w:id="145"/>
    </w:p>
    <w:p>
      <w:pP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pacing w:line="440" w:lineRule="exact"/>
        <w:ind w:firstLine="420" w:firstLineChars="200"/>
        <w:rPr>
          <w:szCs w:val="21"/>
          <w:highlight w:val="none"/>
        </w:rPr>
      </w:pPr>
      <w:r>
        <w:rPr>
          <w:szCs w:val="21"/>
          <w:highlight w:val="none"/>
        </w:rPr>
        <w:t>代理人无转委托权。</w:t>
      </w:r>
    </w:p>
    <w:p>
      <w:pP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jc w:val="center"/>
              <w:rPr>
                <w:rFonts w:ascii="Times New Roman" w:hAnsi="宋体"/>
                <w:sz w:val="28"/>
                <w:szCs w:val="28"/>
                <w:highlight w:val="none"/>
              </w:rPr>
            </w:pPr>
          </w:p>
          <w:p>
            <w:pP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ind w:left="-55"/>
              <w:jc w:val="center"/>
              <w:rPr>
                <w:rFonts w:ascii="Times New Roman" w:hAnsi="Times New Roman"/>
                <w:bCs/>
                <w:szCs w:val="21"/>
                <w:highlight w:val="none"/>
              </w:rPr>
            </w:pPr>
          </w:p>
        </w:tc>
      </w:tr>
    </w:tbl>
    <w:p>
      <w:pPr>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ascii="Times New Roman" w:hAnsi="宋体"/>
                <w:sz w:val="28"/>
                <w:szCs w:val="28"/>
                <w:highlight w:val="none"/>
              </w:rPr>
            </w:pPr>
          </w:p>
          <w:p>
            <w:pP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adjustRightInd w:val="0"/>
              <w:spacing w:line="312" w:lineRule="atLeast"/>
              <w:jc w:val="center"/>
              <w:textAlignment w:val="baseline"/>
              <w:rPr>
                <w:rFonts w:ascii="Times New Roman" w:hAnsi="宋体"/>
                <w:sz w:val="28"/>
                <w:szCs w:val="28"/>
                <w:highlight w:val="none"/>
              </w:rPr>
            </w:pPr>
          </w:p>
          <w:p>
            <w:pP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adjustRightInd w:val="0"/>
              <w:spacing w:line="312" w:lineRule="atLeast"/>
              <w:textAlignment w:val="baseline"/>
              <w:rPr>
                <w:rFonts w:ascii="Times New Roman" w:hAnsi="宋体"/>
                <w:highlight w:val="none"/>
              </w:rPr>
            </w:pPr>
          </w:p>
        </w:tc>
      </w:tr>
    </w:tbl>
    <w:p>
      <w:pPr>
        <w:spacing w:line="440" w:lineRule="exact"/>
        <w:ind w:firstLine="420" w:firstLineChars="200"/>
        <w:jc w:val="right"/>
        <w:rPr>
          <w:szCs w:val="21"/>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rFonts w:hint="eastAsia" w:ascii="宋体" w:hAnsi="宋体"/>
          <w:sz w:val="24"/>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bookmarkStart w:id="146" w:name="_Toc357695535"/>
      <w:bookmarkStart w:id="147" w:name="_Toc357682077"/>
      <w:bookmarkStart w:id="148" w:name="_Toc357693996"/>
      <w:bookmarkStart w:id="149" w:name="_Toc357696414"/>
      <w:bookmarkStart w:id="150" w:name="_Toc357681974"/>
      <w:bookmarkStart w:id="151" w:name="_Toc357693186"/>
      <w:bookmarkStart w:id="152" w:name="_Toc357682118"/>
      <w:bookmarkStart w:id="153" w:name="_Toc357675755"/>
    </w:p>
    <w:p>
      <w:pPr>
        <w:spacing w:line="480" w:lineRule="exact"/>
        <w:rPr>
          <w:rFonts w:ascii="宋体" w:hAnsi="宋体"/>
          <w:sz w:val="24"/>
          <w:highlight w:val="none"/>
        </w:rPr>
      </w:pPr>
      <w:r>
        <w:rPr>
          <w:rFonts w:ascii="宋体" w:hAnsi="宋体"/>
          <w:sz w:val="24"/>
          <w:highlight w:val="none"/>
        </w:rPr>
        <w:br w:type="page"/>
      </w:r>
    </w:p>
    <w:p>
      <w:pPr>
        <w:pStyle w:val="33"/>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6"/>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bl>
    <w:p>
      <w:pPr>
        <w:rPr>
          <w:rFonts w:ascii="宋体" w:hAnsi="宋体"/>
          <w:bCs/>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3"/>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2"/>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236" w:type="pct"/>
            <w:noWrap w:val="0"/>
            <w:vAlign w:val="center"/>
          </w:tcPr>
          <w:p>
            <w:pPr>
              <w:pStyle w:val="6"/>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6"/>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1"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6"/>
              <w:ind w:leftChars="-67" w:hanging="140" w:hangingChars="67"/>
              <w:jc w:val="center"/>
              <w:rPr>
                <w:rFonts w:hint="eastAsia"/>
                <w:lang w:val="en-US" w:eastAsia="zh-CN"/>
              </w:rPr>
            </w:pPr>
            <w:r>
              <w:rPr>
                <w:rFonts w:hint="eastAsia" w:ascii="宋体" w:hAnsi="宋体" w:eastAsia="宋体" w:cs="宋体"/>
                <w:sz w:val="21"/>
                <w:szCs w:val="21"/>
              </w:rPr>
              <w:t>项目概况</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pStyle w:val="6"/>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采购需求</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6"/>
              <w:ind w:leftChars="-67" w:hanging="140" w:hangingChars="67"/>
              <w:jc w:val="center"/>
              <w:rPr>
                <w:rFonts w:hint="eastAsia" w:ascii="宋体" w:hAnsi="宋体" w:eastAsia="宋体" w:cs="宋体"/>
                <w:sz w:val="21"/>
                <w:szCs w:val="21"/>
                <w:lang w:val="en-US" w:eastAsia="zh-CN"/>
              </w:rPr>
            </w:pPr>
            <w:r>
              <w:rPr>
                <w:rFonts w:hint="eastAsia" w:ascii="宋体" w:hAnsi="宋体" w:eastAsia="宋体" w:cs="宋体"/>
                <w:sz w:val="21"/>
                <w:szCs w:val="21"/>
              </w:rPr>
              <w:t>其他要求</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3"/>
              <w:pageBreakBefore w:val="0"/>
              <w:widowControl w:val="0"/>
              <w:tabs>
                <w:tab w:val="left" w:pos="284"/>
              </w:tabs>
              <w:kinsoku/>
              <w:wordWrap/>
              <w:overflowPunct/>
              <w:topLinePunct w:val="0"/>
              <w:autoSpaceDE/>
              <w:autoSpaceDN/>
              <w:bidi w:val="0"/>
              <w:adjustRightInd/>
              <w:snapToGrid/>
              <w:spacing w:before="0" w:after="0" w:line="360" w:lineRule="auto"/>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售后/运维要求</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6"/>
              <w:ind w:leftChars="-67" w:hanging="140" w:hangingChars="67"/>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项目预算</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342" w:type="pct"/>
            <w:noWrap w:val="0"/>
            <w:vAlign w:val="center"/>
          </w:tcPr>
          <w:p>
            <w:pPr>
              <w:pStyle w:val="6"/>
              <w:ind w:leftChars="-67" w:hanging="140" w:hangingChars="67"/>
              <w:jc w:val="center"/>
              <w:rPr>
                <w:rFonts w:hint="default"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费用支付方式</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342" w:type="pct"/>
            <w:noWrap w:val="0"/>
            <w:vAlign w:val="center"/>
          </w:tcPr>
          <w:p>
            <w:pPr>
              <w:pStyle w:val="6"/>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1342" w:type="pct"/>
            <w:noWrap w:val="0"/>
            <w:vAlign w:val="center"/>
          </w:tcPr>
          <w:p>
            <w:pPr>
              <w:pStyle w:val="6"/>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bl>
    <w:p>
      <w:pPr>
        <w:topLinePunct/>
        <w:spacing w:line="360" w:lineRule="exact"/>
        <w:jc w:val="right"/>
        <w:rPr>
          <w:rFonts w:hint="eastAsia" w:ascii="宋体" w:hAnsi="宋体"/>
          <w:highlight w:val="none"/>
        </w:rPr>
      </w:pPr>
    </w:p>
    <w:p>
      <w:pPr>
        <w:rPr>
          <w:highlight w:val="none"/>
        </w:rPr>
      </w:pPr>
    </w:p>
    <w:p>
      <w:pPr>
        <w:rPr>
          <w:highlight w:val="none"/>
        </w:rPr>
      </w:pPr>
    </w:p>
    <w:p>
      <w:pPr>
        <w:rPr>
          <w:highlight w:val="none"/>
        </w:rPr>
      </w:pPr>
    </w:p>
    <w:p>
      <w:pPr>
        <w:ind w:right="-315" w:rightChars="-150" w:firstLine="364" w:firstLineChars="192"/>
        <w:jc w:val="right"/>
        <w:rPr>
          <w:rFonts w:hint="eastAsia" w:ascii="宋体" w:hAnsi="宋体"/>
          <w:bCs/>
          <w:spacing w:val="-10"/>
          <w:szCs w:val="21"/>
          <w:highlight w:val="none"/>
        </w:rPr>
      </w:pPr>
      <w:r>
        <w:rPr>
          <w:rFonts w:ascii="宋体" w:hAnsi="宋体"/>
          <w:bCs/>
          <w:spacing w:val="-10"/>
          <w:szCs w:val="21"/>
          <w:highlight w:val="none"/>
        </w:rPr>
        <w:br w:type="page"/>
      </w:r>
    </w:p>
    <w:p>
      <w:pPr>
        <w:pStyle w:val="33"/>
        <w:jc w:val="center"/>
        <w:rPr>
          <w:highlight w:val="none"/>
        </w:rPr>
      </w:pPr>
      <w:r>
        <w:rPr>
          <w:rFonts w:hint="eastAsia" w:ascii="宋体" w:hAnsi="宋体" w:eastAsia="宋体"/>
          <w:sz w:val="32"/>
          <w:szCs w:val="32"/>
          <w:highlight w:val="none"/>
        </w:rPr>
        <w:t>六、信誉承诺函</w:t>
      </w:r>
    </w:p>
    <w:p>
      <w:pPr>
        <w:spacing w:after="156" w:afterLines="50" w:line="400" w:lineRule="exact"/>
        <w:jc w:val="center"/>
        <w:rPr>
          <w:rFonts w:ascii="宋体" w:hAnsi="宋体"/>
          <w:spacing w:val="-2"/>
          <w:szCs w:val="21"/>
          <w:highlight w:val="none"/>
        </w:rPr>
      </w:pPr>
      <w:r>
        <w:rPr>
          <w:rFonts w:hint="eastAsia" w:ascii="宋体" w:hAnsi="宋体"/>
          <w:spacing w:val="-2"/>
          <w:szCs w:val="21"/>
          <w:highlight w:val="none"/>
        </w:rPr>
        <w:t xml:space="preserve">    </w:t>
      </w:r>
    </w:p>
    <w:p>
      <w:pPr>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数字江门网络建设有限公司信息技术应用创新项目运维服务</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rPr>
          <w:rFonts w:ascii="宋体" w:hAnsi="宋体"/>
          <w:spacing w:val="-2"/>
          <w:szCs w:val="21"/>
          <w:highlight w:val="none"/>
        </w:rPr>
      </w:pPr>
    </w:p>
    <w:p>
      <w:pPr>
        <w:rPr>
          <w:rFonts w:ascii="宋体" w:hAnsi="宋体"/>
          <w:spacing w:val="-2"/>
          <w:szCs w:val="21"/>
          <w:highlight w:val="none"/>
        </w:rPr>
      </w:pPr>
      <w:r>
        <w:rPr>
          <w:rFonts w:hint="eastAsia" w:ascii="宋体" w:hAnsi="宋体"/>
          <w:spacing w:val="-2"/>
          <w:szCs w:val="21"/>
          <w:highlight w:val="none"/>
        </w:rPr>
        <w:t>（1） 供应商被责令停业的；</w:t>
      </w:r>
    </w:p>
    <w:p>
      <w:pPr>
        <w:rPr>
          <w:rFonts w:ascii="宋体" w:hAnsi="宋体"/>
          <w:spacing w:val="-2"/>
          <w:szCs w:val="21"/>
          <w:highlight w:val="none"/>
        </w:rPr>
      </w:pPr>
      <w:r>
        <w:rPr>
          <w:rFonts w:hint="eastAsia" w:ascii="宋体" w:hAnsi="宋体"/>
          <w:spacing w:val="-2"/>
          <w:szCs w:val="21"/>
          <w:highlight w:val="none"/>
        </w:rPr>
        <w:t>（2） 供应商被暂停或取消投标资格的；</w:t>
      </w:r>
    </w:p>
    <w:p>
      <w:pPr>
        <w:rPr>
          <w:rFonts w:ascii="宋体" w:hAnsi="宋体"/>
          <w:spacing w:val="-2"/>
          <w:szCs w:val="21"/>
          <w:highlight w:val="none"/>
        </w:rPr>
      </w:pPr>
      <w:r>
        <w:rPr>
          <w:rFonts w:hint="eastAsia" w:ascii="宋体" w:hAnsi="宋体"/>
          <w:spacing w:val="-2"/>
          <w:szCs w:val="21"/>
          <w:highlight w:val="none"/>
        </w:rPr>
        <w:t>（3） 供应商财产被接管或冻结的；</w:t>
      </w:r>
    </w:p>
    <w:p>
      <w:pP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lang w:val="en-US" w:eastAsia="zh-CN"/>
        </w:rPr>
        <w:t>成交</w:t>
      </w:r>
      <w:r>
        <w:rPr>
          <w:rFonts w:hint="eastAsia" w:ascii="宋体" w:hAnsi="宋体"/>
          <w:spacing w:val="-2"/>
          <w:szCs w:val="21"/>
          <w:highlight w:val="none"/>
        </w:rPr>
        <w:t>或严重违约的；</w:t>
      </w:r>
    </w:p>
    <w:p>
      <w:pP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pacing w:line="276" w:lineRule="auto"/>
        <w:ind w:firstLine="103" w:firstLineChars="50"/>
        <w:rPr>
          <w:rFonts w:ascii="宋体" w:hAnsi="宋体"/>
          <w:spacing w:val="-2"/>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right"/>
        <w:textAlignment w:val="auto"/>
        <w:rPr>
          <w:rFonts w:ascii="宋体" w:hAnsi="宋体"/>
          <w:spacing w:val="-2"/>
          <w:szCs w:val="21"/>
          <w:highlight w:val="none"/>
        </w:rPr>
      </w:pPr>
      <w:r>
        <w:rPr>
          <w:rFonts w:hint="eastAsia" w:ascii="宋体" w:hAnsi="宋体"/>
          <w:spacing w:val="-2"/>
          <w:szCs w:val="21"/>
          <w:highlight w:val="none"/>
        </w:rPr>
        <w:t>承诺单位：</w:t>
      </w:r>
      <w:r>
        <w:rPr>
          <w:szCs w:val="21"/>
          <w:highlight w:val="none"/>
          <w:u w:val="single"/>
        </w:rPr>
        <w:t xml:space="preserve">            </w:t>
      </w:r>
      <w:r>
        <w:rPr>
          <w:rFonts w:hint="eastAsia" w:ascii="宋体" w:hAnsi="宋体"/>
          <w:spacing w:val="-2"/>
          <w:szCs w:val="21"/>
          <w:highlight w:val="none"/>
        </w:rPr>
        <w:t>（盖章）</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spacing w:line="400" w:lineRule="exact"/>
        <w:rPr>
          <w:rFonts w:hint="eastAsia" w:ascii="宋体" w:hAnsi="宋体"/>
          <w:spacing w:val="-2"/>
          <w:szCs w:val="21"/>
          <w:highlight w:val="none"/>
        </w:rPr>
      </w:pPr>
    </w:p>
    <w:p>
      <w:pP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rPr>
          <w:highlight w:val="none"/>
        </w:rPr>
      </w:pPr>
      <w:r>
        <w:rPr>
          <w:highlight w:val="none"/>
        </w:rPr>
        <w:br w:type="page"/>
      </w:r>
    </w:p>
    <w:p>
      <w:pPr>
        <w:pStyle w:val="33"/>
        <w:jc w:val="center"/>
        <w:rPr>
          <w:rFonts w:hint="eastAsia" w:ascii="宋体" w:hAnsi="宋体" w:eastAsia="宋体"/>
          <w:sz w:val="32"/>
          <w:szCs w:val="32"/>
          <w:highlight w:val="none"/>
        </w:rPr>
      </w:pPr>
      <w:r>
        <w:rPr>
          <w:rFonts w:hint="eastAsia" w:ascii="宋体" w:hAnsi="宋体" w:eastAsia="宋体"/>
          <w:sz w:val="32"/>
          <w:szCs w:val="32"/>
          <w:highlight w:val="none"/>
        </w:rPr>
        <w:t>七、资格审查资料</w:t>
      </w:r>
    </w:p>
    <w:p>
      <w:pPr>
        <w:topLinePunct/>
        <w:spacing w:line="360" w:lineRule="exact"/>
        <w:rPr>
          <w:rFonts w:hint="eastAsia" w:ascii="宋体" w:hAnsi="宋体"/>
          <w:szCs w:val="21"/>
          <w:highlight w:val="none"/>
        </w:rPr>
      </w:pPr>
    </w:p>
    <w:p>
      <w:pPr>
        <w:spacing w:line="400" w:lineRule="exact"/>
        <w:jc w:val="center"/>
        <w:rPr>
          <w:rFonts w:ascii="宋体" w:hAnsi="宋体"/>
          <w:b/>
          <w:highlight w:val="none"/>
        </w:rPr>
      </w:pPr>
      <w:r>
        <w:rPr>
          <w:rFonts w:hint="eastAsia" w:ascii="黑体" w:eastAsia="黑体"/>
          <w:sz w:val="24"/>
          <w:highlight w:val="none"/>
        </w:rPr>
        <w:t>审查资料</w:t>
      </w:r>
    </w:p>
    <w:p>
      <w:pPr>
        <w:spacing w:line="360" w:lineRule="exact"/>
        <w:jc w:val="left"/>
        <w:rPr>
          <w:rFonts w:hint="eastAsia" w:hAnsi="宋体"/>
          <w:szCs w:val="21"/>
          <w:highlight w:val="none"/>
        </w:rPr>
      </w:pP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2"/>
        <w:widowControl w:val="0"/>
        <w:numPr>
          <w:ilvl w:val="0"/>
          <w:numId w:val="0"/>
        </w:numP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2"/>
        <w:widowControl w:val="0"/>
        <w:numPr>
          <w:ilvl w:val="0"/>
          <w:numId w:val="0"/>
        </w:numPr>
        <w:spacing w:after="120"/>
        <w:jc w:val="both"/>
        <w:rPr>
          <w:rFonts w:hint="eastAsia" w:ascii="宋体" w:hAnsi="宋体"/>
          <w:b/>
          <w:bCs/>
          <w:highlight w:val="none"/>
        </w:rPr>
      </w:pPr>
      <w:r>
        <w:rPr>
          <w:rFonts w:hint="eastAsia" w:cs="Times New Roman"/>
          <w:highlight w:val="none"/>
          <w:u w:val="single"/>
        </w:rPr>
        <w:t>此处放证明材料。</w:t>
      </w:r>
    </w:p>
    <w:p>
      <w:pPr>
        <w:spacing w:line="360" w:lineRule="exact"/>
        <w:ind w:firstLine="315" w:firstLineChars="150"/>
        <w:jc w:val="left"/>
        <w:rPr>
          <w:rFonts w:hint="eastAsia" w:ascii="宋体" w:hAnsi="宋体"/>
          <w:highlight w:val="none"/>
        </w:rPr>
      </w:pPr>
    </w:p>
    <w:p>
      <w:pPr>
        <w:spacing w:line="420" w:lineRule="exact"/>
        <w:ind w:firstLine="315" w:firstLineChars="150"/>
        <w:rPr>
          <w:rFonts w:hint="eastAsia" w:ascii="Calibri" w:hAnsi="Calibri"/>
          <w:highlight w:val="none"/>
        </w:rPr>
      </w:pPr>
    </w:p>
    <w:p>
      <w:pPr>
        <w:spacing w:line="360" w:lineRule="exact"/>
        <w:ind w:firstLine="315" w:firstLineChars="150"/>
        <w:jc w:val="left"/>
        <w:rPr>
          <w:rFonts w:hint="eastAsia" w:ascii="宋体" w:hAnsi="宋体"/>
          <w:highlight w:val="none"/>
        </w:rPr>
      </w:pPr>
    </w:p>
    <w:p>
      <w:pPr>
        <w:pStyle w:val="15"/>
        <w:rPr>
          <w:rFonts w:hint="eastAsia" w:ascii="宋体" w:hAnsi="宋体"/>
          <w:highlight w:val="none"/>
        </w:rPr>
      </w:pPr>
    </w:p>
    <w:p>
      <w:pPr>
        <w:rPr>
          <w:rFonts w:hint="eastAsia"/>
          <w:highlight w:val="none"/>
        </w:rPr>
      </w:pPr>
    </w:p>
    <w:p>
      <w:pPr>
        <w:spacing w:line="360" w:lineRule="exact"/>
        <w:ind w:firstLine="315" w:firstLineChars="150"/>
        <w:jc w:val="left"/>
        <w:rPr>
          <w:rFonts w:hint="eastAsia" w:ascii="宋体" w:hAnsi="宋体"/>
          <w:highlight w:val="none"/>
        </w:rPr>
      </w:pPr>
    </w:p>
    <w:p>
      <w:pPr>
        <w:spacing w:line="400" w:lineRule="exact"/>
        <w:jc w:val="center"/>
        <w:rPr>
          <w:rFonts w:ascii="宋体" w:hAnsi="宋体"/>
          <w:b/>
          <w:szCs w:val="21"/>
          <w:highlight w:val="none"/>
        </w:rPr>
      </w:pPr>
      <w:r>
        <w:rPr>
          <w:rFonts w:hint="eastAsia" w:ascii="宋体" w:hAnsi="宋体"/>
          <w:b/>
          <w:szCs w:val="21"/>
          <w:highlight w:val="none"/>
        </w:rPr>
        <w:t>承诺书</w:t>
      </w:r>
    </w:p>
    <w:p>
      <w:pPr>
        <w:spacing w:line="400" w:lineRule="exact"/>
        <w:jc w:val="left"/>
        <w:rPr>
          <w:highlight w:val="none"/>
        </w:rPr>
      </w:pPr>
      <w:r>
        <w:rPr>
          <w:highlight w:val="none"/>
        </w:rPr>
        <w:t>致：</w:t>
      </w:r>
      <w:r>
        <w:rPr>
          <w:rFonts w:hint="eastAsia"/>
          <w:highlight w:val="none"/>
        </w:rPr>
        <w:t>数字江门网络建设有限公司</w:t>
      </w:r>
    </w:p>
    <w:p>
      <w:pP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pacing w:line="440" w:lineRule="exact"/>
        <w:jc w:val="center"/>
        <w:rPr>
          <w:rFonts w:ascii="黑体" w:eastAsia="黑体"/>
          <w:b/>
          <w:sz w:val="28"/>
          <w:szCs w:val="28"/>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topLinePunct/>
        <w:spacing w:line="360" w:lineRule="auto"/>
        <w:jc w:val="right"/>
        <w:rPr>
          <w:rFonts w:hint="eastAsia" w:ascii="宋体" w:hAnsi="宋体"/>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4"/>
        <w:jc w:val="center"/>
        <w:rPr>
          <w:rFonts w:hint="eastAsia" w:ascii="Arial" w:hAnsi="Arial" w:eastAsia="黑体" w:cs="Times New Roman"/>
          <w:bCs w:val="0"/>
          <w:sz w:val="24"/>
          <w:szCs w:val="24"/>
          <w:highlight w:val="none"/>
        </w:rPr>
      </w:pPr>
      <w:bookmarkStart w:id="154" w:name="_Toc332188253"/>
      <w:bookmarkStart w:id="155" w:name="_Toc152042598"/>
      <w:bookmarkStart w:id="156" w:name="_Toc152045809"/>
      <w:bookmarkStart w:id="157" w:name="_Toc144974877"/>
      <w:bookmarkStart w:id="158" w:name="_Toc247514301"/>
      <w:bookmarkStart w:id="159" w:name="_Toc334767004"/>
      <w:bookmarkStart w:id="160" w:name="_Toc247527849"/>
      <w:bookmarkStart w:id="161" w:name="_Toc326223619"/>
      <w:bookmarkStart w:id="162" w:name="_Toc265953295"/>
      <w:r>
        <w:rPr>
          <w:rFonts w:ascii="Arial" w:hAnsi="Arial" w:eastAsia="黑体"/>
          <w:bCs w:val="0"/>
          <w:sz w:val="24"/>
          <w:szCs w:val="24"/>
          <w:highlight w:val="none"/>
        </w:rPr>
        <w:br w:type="page"/>
      </w:r>
      <w:bookmarkEnd w:id="154"/>
      <w:bookmarkEnd w:id="155"/>
      <w:bookmarkEnd w:id="156"/>
      <w:bookmarkEnd w:id="157"/>
      <w:bookmarkEnd w:id="158"/>
      <w:bookmarkEnd w:id="159"/>
      <w:bookmarkEnd w:id="160"/>
      <w:bookmarkEnd w:id="161"/>
      <w:bookmarkEnd w:id="162"/>
      <w:bookmarkStart w:id="163" w:name="_Toc334767007"/>
      <w:bookmarkStart w:id="164" w:name="_Toc152045810"/>
      <w:bookmarkStart w:id="165" w:name="_Toc144974878"/>
      <w:bookmarkStart w:id="166" w:name="_Toc152042599"/>
      <w:bookmarkStart w:id="167" w:name="_Toc265953296"/>
      <w:bookmarkStart w:id="168" w:name="_Toc247514302"/>
      <w:bookmarkStart w:id="169" w:name="_Toc247527850"/>
      <w:bookmarkStart w:id="170" w:name="_Toc332188254"/>
      <w:bookmarkStart w:id="171" w:name="_Toc326223620"/>
      <w:bookmarkStart w:id="172" w:name="_Toc334767005"/>
      <w:r>
        <w:rPr>
          <w:rFonts w:hint="eastAsia" w:ascii="Arial" w:hAnsi="Arial" w:eastAsia="黑体" w:cs="Times New Roman"/>
          <w:bCs w:val="0"/>
          <w:sz w:val="24"/>
          <w:szCs w:val="24"/>
          <w:highlight w:val="none"/>
        </w:rPr>
        <w:t>（一）经营业绩</w:t>
      </w:r>
    </w:p>
    <w:p>
      <w:pPr>
        <w:pStyle w:val="15"/>
        <w:ind w:firstLine="210" w:firstLineChars="100"/>
        <w:rPr>
          <w:rFonts w:hint="eastAsia" w:ascii="Times New Roman" w:hAnsi="Times New Roman" w:cs="Times New Roman"/>
        </w:rPr>
      </w:pPr>
      <w:r>
        <w:rPr>
          <w:rFonts w:hint="eastAsia" w:ascii="Times New Roman" w:hAnsi="Times New Roman" w:cs="Times New Roman"/>
        </w:rPr>
        <w:t>请提供经营业绩相关证明材料，详见《商务评分表》。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rPr>
        <w:t>（二）财务状况</w:t>
      </w:r>
    </w:p>
    <w:p>
      <w:pPr>
        <w:pStyle w:val="15"/>
        <w:ind w:firstLine="210" w:firstLineChars="100"/>
        <w:rPr>
          <w:rFonts w:hint="eastAsia" w:ascii="Times New Roman" w:hAnsi="Times New Roman" w:cs="Times New Roman"/>
        </w:rPr>
      </w:pPr>
      <w:r>
        <w:rPr>
          <w:rFonts w:hint="eastAsia" w:ascii="Times New Roman" w:hAnsi="Times New Roman" w:cs="Times New Roman"/>
        </w:rPr>
        <w:t>请提供财务状况相关证明材料</w:t>
      </w:r>
      <w:r>
        <w:rPr>
          <w:rFonts w:hint="eastAsia" w:ascii="Times New Roman" w:hAnsi="Times New Roman" w:cs="Times New Roman"/>
          <w:lang w:val="en-US" w:eastAsia="zh-CN"/>
        </w:rPr>
        <w:t>，详见《商务评</w:t>
      </w:r>
      <w:r>
        <w:rPr>
          <w:rFonts w:hint="eastAsia" w:ascii="Times New Roman" w:hAnsi="Times New Roman" w:cs="Times New Roman"/>
        </w:rPr>
        <w:t>分表》。</w:t>
      </w:r>
    </w:p>
    <w:p>
      <w:pPr>
        <w:pStyle w:val="4"/>
        <w:jc w:val="center"/>
        <w:rPr>
          <w:rFonts w:hint="eastAsia" w:ascii="Arial" w:hAnsi="Arial" w:eastAsia="黑体" w:cs="Times New Roman"/>
          <w:bCs w:val="0"/>
          <w:sz w:val="24"/>
          <w:szCs w:val="24"/>
          <w:highlight w:val="none"/>
          <w:lang w:val="en-US"/>
        </w:rPr>
      </w:pPr>
      <w:r>
        <w:rPr>
          <w:rFonts w:hint="eastAsia" w:ascii="Arial" w:hAnsi="Arial" w:eastAsia="黑体" w:cs="Times New Roman"/>
          <w:bCs w:val="0"/>
          <w:sz w:val="24"/>
          <w:szCs w:val="24"/>
          <w:highlight w:val="none"/>
        </w:rPr>
        <w:t>（</w:t>
      </w:r>
      <w:r>
        <w:rPr>
          <w:rFonts w:hint="eastAsia" w:ascii="Arial" w:hAnsi="Arial" w:eastAsia="黑体" w:cs="Times New Roman"/>
          <w:bCs w:val="0"/>
          <w:sz w:val="24"/>
          <w:szCs w:val="24"/>
          <w:highlight w:val="none"/>
          <w:lang w:eastAsia="zh-CN"/>
        </w:rPr>
        <w:t>三</w:t>
      </w:r>
      <w:r>
        <w:rPr>
          <w:rFonts w:hint="eastAsia" w:ascii="Arial" w:hAnsi="Arial" w:eastAsia="黑体" w:cs="Times New Roman"/>
          <w:bCs w:val="0"/>
          <w:sz w:val="24"/>
          <w:szCs w:val="24"/>
          <w:highlight w:val="none"/>
        </w:rPr>
        <w:t>）规章管理制度</w:t>
      </w:r>
    </w:p>
    <w:p>
      <w:pPr>
        <w:pStyle w:val="15"/>
        <w:ind w:firstLine="210" w:firstLineChars="100"/>
        <w:rPr>
          <w:rFonts w:hint="eastAsia" w:ascii="Times New Roman" w:hAnsi="Times New Roman" w:cs="Times New Roman"/>
        </w:rPr>
      </w:pPr>
      <w:r>
        <w:rPr>
          <w:rFonts w:hint="eastAsia" w:ascii="Times New Roman" w:hAnsi="Times New Roman" w:cs="Times New Roman"/>
        </w:rPr>
        <w:t>请提供规章管理制度相关证明材料</w:t>
      </w:r>
      <w:r>
        <w:rPr>
          <w:rFonts w:hint="eastAsia" w:ascii="Times New Roman" w:hAnsi="Times New Roman" w:cs="Times New Roman"/>
          <w:lang w:val="en-US" w:eastAsia="zh-CN"/>
        </w:rPr>
        <w:t>，详见《商</w:t>
      </w:r>
      <w:r>
        <w:rPr>
          <w:rFonts w:hint="eastAsia" w:ascii="Times New Roman" w:hAnsi="Times New Roman" w:cs="Times New Roman"/>
        </w:rPr>
        <w:t>务评分表》。</w:t>
      </w:r>
    </w:p>
    <w:p>
      <w:pPr>
        <w:pStyle w:val="4"/>
        <w:jc w:val="center"/>
        <w:rPr>
          <w:rFonts w:hint="eastAsia" w:ascii="Arial" w:hAnsi="Arial" w:eastAsia="黑体" w:cs="Times New Roman"/>
          <w:bCs w:val="0"/>
          <w:sz w:val="24"/>
          <w:szCs w:val="24"/>
          <w:highlight w:val="none"/>
        </w:rPr>
      </w:pPr>
      <w:r>
        <w:rPr>
          <w:rFonts w:hint="eastAsia" w:ascii="Arial" w:hAnsi="Arial" w:eastAsia="黑体" w:cs="Times New Roman"/>
          <w:bCs w:val="0"/>
          <w:sz w:val="24"/>
          <w:szCs w:val="24"/>
          <w:highlight w:val="none"/>
        </w:rPr>
        <w:t>（</w:t>
      </w:r>
      <w:r>
        <w:rPr>
          <w:rFonts w:hint="eastAsia" w:ascii="Arial" w:hAnsi="Arial" w:eastAsia="黑体" w:cs="Times New Roman"/>
          <w:bCs w:val="0"/>
          <w:sz w:val="24"/>
          <w:szCs w:val="24"/>
          <w:highlight w:val="none"/>
          <w:lang w:eastAsia="zh-CN"/>
        </w:rPr>
        <w:t>四</w:t>
      </w:r>
      <w:r>
        <w:rPr>
          <w:rFonts w:hint="eastAsia" w:ascii="Arial" w:hAnsi="Arial" w:eastAsia="黑体" w:cs="Times New Roman"/>
          <w:bCs w:val="0"/>
          <w:sz w:val="24"/>
          <w:szCs w:val="24"/>
          <w:highlight w:val="none"/>
        </w:rPr>
        <w:t>）资信情况与履约能力</w:t>
      </w:r>
    </w:p>
    <w:p>
      <w:pPr>
        <w:pStyle w:val="15"/>
        <w:ind w:firstLine="210" w:firstLineChars="100"/>
        <w:rPr>
          <w:rFonts w:hint="eastAsia" w:ascii="Times New Roman" w:hAnsi="Times New Roman" w:cs="Times New Roman"/>
        </w:rPr>
      </w:pPr>
      <w:r>
        <w:rPr>
          <w:rFonts w:hint="eastAsia" w:ascii="Times New Roman" w:hAnsi="Times New Roman" w:cs="Times New Roman"/>
        </w:rPr>
        <w:t>请提供针对资信情况与履约能力相关证明材料</w:t>
      </w:r>
      <w:r>
        <w:rPr>
          <w:rFonts w:hint="eastAsia" w:ascii="Times New Roman" w:hAnsi="Times New Roman" w:cs="Times New Roman"/>
          <w:lang w:val="en-US" w:eastAsia="zh-CN"/>
        </w:rPr>
        <w:t>，详见</w:t>
      </w:r>
      <w:r>
        <w:rPr>
          <w:rFonts w:hint="eastAsia" w:ascii="Times New Roman" w:hAnsi="Times New Roman" w:cs="Times New Roman"/>
        </w:rPr>
        <w:t>《商务评分表》。</w:t>
      </w:r>
    </w:p>
    <w:p>
      <w:pPr>
        <w:pStyle w:val="4"/>
        <w:jc w:val="center"/>
        <w:rPr>
          <w:rFonts w:hint="eastAsia" w:ascii="Arial" w:hAnsi="Arial" w:eastAsia="黑体" w:cs="Times New Roman"/>
          <w:bCs w:val="0"/>
          <w:sz w:val="24"/>
          <w:szCs w:val="24"/>
          <w:highlight w:val="none"/>
        </w:rPr>
      </w:pP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lang w:val="en-US" w:eastAsia="zh-CN"/>
        </w:rPr>
        <w:t>五</w:t>
      </w: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rPr>
        <w:t>项目理解程度</w:t>
      </w:r>
    </w:p>
    <w:p>
      <w:pPr>
        <w:pStyle w:val="15"/>
        <w:ind w:firstLine="210" w:firstLineChars="100"/>
        <w:rPr>
          <w:rFonts w:hint="eastAsia" w:ascii="Times New Roman" w:hAnsi="Times New Roman" w:cs="Times New Roman"/>
        </w:rPr>
      </w:pPr>
      <w:r>
        <w:rPr>
          <w:rFonts w:hint="eastAsia" w:ascii="Times New Roman" w:hAnsi="Times New Roman" w:cs="Times New Roman"/>
        </w:rPr>
        <w:t>请提供针对项目理解程度相关证明材料</w:t>
      </w:r>
      <w:r>
        <w:rPr>
          <w:rFonts w:hint="eastAsia" w:ascii="Times New Roman" w:hAnsi="Times New Roman" w:cs="Times New Roman"/>
          <w:lang w:val="en-US" w:eastAsia="zh-CN"/>
        </w:rPr>
        <w:t>，详</w:t>
      </w:r>
      <w:r>
        <w:rPr>
          <w:rFonts w:hint="eastAsia" w:ascii="Times New Roman" w:hAnsi="Times New Roman" w:cs="Times New Roman"/>
        </w:rPr>
        <w:t>见《技术评分表》。</w:t>
      </w:r>
    </w:p>
    <w:p>
      <w:pPr>
        <w:pStyle w:val="4"/>
        <w:jc w:val="center"/>
        <w:rPr>
          <w:rFonts w:hint="eastAsia" w:ascii="Arial" w:hAnsi="Arial" w:eastAsia="黑体" w:cs="Times New Roman"/>
          <w:bCs w:val="0"/>
          <w:sz w:val="24"/>
          <w:szCs w:val="24"/>
          <w:highlight w:val="none"/>
          <w:lang w:eastAsia="zh-CN"/>
        </w:rPr>
      </w:pPr>
      <w:r>
        <w:rPr>
          <w:rFonts w:hint="eastAsia" w:ascii="Arial" w:hAnsi="Arial" w:eastAsia="黑体" w:cs="Times New Roman"/>
          <w:bCs w:val="0"/>
          <w:sz w:val="24"/>
          <w:szCs w:val="24"/>
          <w:highlight w:val="none"/>
          <w:lang w:val="en-US" w:eastAsia="zh-CN"/>
        </w:rPr>
        <w:t>（六）</w:t>
      </w:r>
      <w:r>
        <w:rPr>
          <w:rFonts w:hint="eastAsia" w:ascii="Arial" w:hAnsi="Arial" w:eastAsia="黑体" w:cs="Times New Roman"/>
          <w:bCs w:val="0"/>
          <w:sz w:val="24"/>
          <w:szCs w:val="24"/>
          <w:highlight w:val="none"/>
          <w:lang w:eastAsia="zh-CN"/>
        </w:rPr>
        <w:t>投标服务计划</w:t>
      </w:r>
    </w:p>
    <w:p>
      <w:pPr>
        <w:pStyle w:val="15"/>
        <w:ind w:firstLine="210" w:firstLineChars="100"/>
        <w:rPr>
          <w:rFonts w:hint="eastAsia" w:ascii="Times New Roman" w:hAnsi="Times New Roman" w:cs="Times New Roman"/>
        </w:rPr>
      </w:pPr>
      <w:r>
        <w:rPr>
          <w:rFonts w:hint="eastAsia" w:ascii="Times New Roman" w:hAnsi="Times New Roman" w:cs="Times New Roman"/>
        </w:rPr>
        <w:t>请提供针对投标服务计划相关证明材料</w:t>
      </w:r>
      <w:r>
        <w:rPr>
          <w:rFonts w:hint="eastAsia" w:ascii="Times New Roman" w:hAnsi="Times New Roman" w:cs="Times New Roman"/>
          <w:lang w:val="en-US" w:eastAsia="zh-CN"/>
        </w:rPr>
        <w:t>，详</w:t>
      </w:r>
      <w:r>
        <w:rPr>
          <w:rFonts w:hint="eastAsia" w:ascii="Times New Roman" w:hAnsi="Times New Roman" w:cs="Times New Roman"/>
        </w:rPr>
        <w:t>见《技术评分表》。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（七）服务水平</w:t>
      </w:r>
    </w:p>
    <w:p>
      <w:pPr>
        <w:pStyle w:val="15"/>
        <w:ind w:firstLine="210" w:firstLineChars="100"/>
        <w:rPr>
          <w:rFonts w:hint="eastAsia" w:ascii="Times New Roman" w:hAnsi="Times New Roman" w:cs="Times New Roman"/>
        </w:rPr>
      </w:pPr>
      <w:r>
        <w:rPr>
          <w:rFonts w:hint="eastAsia" w:ascii="Times New Roman" w:hAnsi="Times New Roman" w:cs="Times New Roman"/>
        </w:rPr>
        <w:t>请提供针对服务水平相关证明材料，详见《技术评分表》。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（八）技术响应程度</w:t>
      </w:r>
    </w:p>
    <w:p>
      <w:pPr>
        <w:pStyle w:val="15"/>
        <w:ind w:firstLine="210" w:firstLineChars="100"/>
        <w:rPr>
          <w:rFonts w:hint="eastAsia" w:ascii="Times New Roman" w:hAnsi="Times New Roman" w:cs="Times New Roman"/>
        </w:rPr>
      </w:pPr>
      <w:r>
        <w:rPr>
          <w:rFonts w:hint="eastAsia" w:ascii="Times New Roman" w:hAnsi="Times New Roman" w:cs="Times New Roman"/>
        </w:rPr>
        <w:t>请提供针对技术响应程度相关证明材料，详见《技术评分表》。</w:t>
      </w:r>
    </w:p>
    <w:p>
      <w:pPr>
        <w:pStyle w:val="4"/>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九</w:t>
      </w:r>
      <w:r>
        <w:rPr>
          <w:rFonts w:hint="eastAsia" w:ascii="Arial" w:hAnsi="Arial" w:eastAsia="黑体"/>
          <w:bCs w:val="0"/>
          <w:sz w:val="24"/>
          <w:szCs w:val="24"/>
          <w:highlight w:val="none"/>
        </w:rPr>
        <w:t>）</w:t>
      </w:r>
      <w:bookmarkEnd w:id="163"/>
      <w:bookmarkEnd w:id="164"/>
      <w:bookmarkEnd w:id="165"/>
      <w:bookmarkEnd w:id="166"/>
      <w:bookmarkEnd w:id="167"/>
      <w:bookmarkEnd w:id="168"/>
      <w:bookmarkEnd w:id="169"/>
      <w:bookmarkEnd w:id="170"/>
      <w:bookmarkEnd w:id="171"/>
      <w:bookmarkEnd w:id="172"/>
      <w:r>
        <w:rPr>
          <w:rFonts w:hint="eastAsia" w:ascii="Arial" w:hAnsi="Arial" w:eastAsia="黑体"/>
          <w:bCs w:val="0"/>
          <w:sz w:val="24"/>
          <w:szCs w:val="24"/>
          <w:highlight w:val="none"/>
        </w:rPr>
        <w:t>其他资格审查资料（供应商认为需要补充的相关资料）</w:t>
      </w:r>
    </w:p>
    <w:p>
      <w:pPr>
        <w:bidi w:val="0"/>
        <w:rPr>
          <w:highlight w:val="none"/>
        </w:rPr>
      </w:pPr>
      <w:r>
        <w:rPr>
          <w:rFonts w:hint="eastAsia" w:ascii="宋体" w:hAnsi="宋体"/>
          <w:szCs w:val="28"/>
          <w:highlight w:val="none"/>
          <w:u w:val="single"/>
        </w:rPr>
        <w:br w:type="page"/>
      </w:r>
      <w:bookmarkEnd w:id="146"/>
      <w:bookmarkEnd w:id="147"/>
      <w:bookmarkEnd w:id="148"/>
      <w:bookmarkEnd w:id="149"/>
      <w:bookmarkEnd w:id="150"/>
      <w:bookmarkEnd w:id="151"/>
      <w:bookmarkEnd w:id="152"/>
      <w:bookmarkEnd w:id="153"/>
      <w:r>
        <w:rPr>
          <w:rFonts w:hint="eastAsia"/>
          <w:b/>
          <w:sz w:val="32"/>
          <w:szCs w:val="32"/>
          <w:highlight w:val="none"/>
        </w:rPr>
        <w:t>第二部分：报价文件</w:t>
      </w:r>
    </w:p>
    <w:p>
      <w:pPr>
        <w:bidi w:val="0"/>
        <w:jc w:val="center"/>
        <w:rPr>
          <w:rFonts w:hint="eastAsia"/>
          <w:sz w:val="32"/>
          <w:szCs w:val="32"/>
          <w:highlight w:val="none"/>
        </w:rPr>
      </w:pPr>
    </w:p>
    <w:p>
      <w:pPr>
        <w:bidi w:val="0"/>
        <w:jc w:val="center"/>
        <w:rPr>
          <w:rFonts w:hint="eastAsia"/>
          <w:sz w:val="32"/>
          <w:szCs w:val="32"/>
          <w:highlight w:val="none"/>
        </w:rPr>
      </w:pPr>
      <w:r>
        <w:rPr>
          <w:rFonts w:hint="eastAsia"/>
          <w:sz w:val="32"/>
          <w:szCs w:val="32"/>
          <w:highlight w:val="none"/>
        </w:rPr>
        <w:t>报价一览表</w:t>
      </w:r>
    </w:p>
    <w:p>
      <w:pPr>
        <w:pStyle w:val="6"/>
        <w:spacing w:before="156" w:beforeLines="50" w:line="400" w:lineRule="exact"/>
        <w:ind w:firstLine="210" w:firstLineChars="100"/>
        <w:rPr>
          <w:rFonts w:hint="eastAsia" w:ascii="宋体" w:hAnsi="宋体"/>
          <w:sz w:val="21"/>
          <w:szCs w:val="21"/>
          <w:highlight w:val="none"/>
          <w:lang w:val="en-US" w:eastAsia="zh-CN"/>
        </w:rPr>
      </w:pPr>
      <w:r>
        <w:rPr>
          <w:rFonts w:hint="eastAsia" w:ascii="宋体" w:hAnsi="宋体"/>
          <w:sz w:val="21"/>
          <w:szCs w:val="21"/>
          <w:highlight w:val="none"/>
        </w:rPr>
        <w:t>项目名称：</w:t>
      </w:r>
      <w:r>
        <w:rPr>
          <w:rFonts w:hint="eastAsia" w:ascii="宋体" w:hAnsi="宋体"/>
          <w:sz w:val="21"/>
          <w:szCs w:val="21"/>
          <w:highlight w:val="none"/>
          <w:lang w:val="en-US" w:eastAsia="zh-CN"/>
        </w:rPr>
        <w:t>数字江门网络建设有限公司信息技术应用创新项目运维服务</w:t>
      </w:r>
    </w:p>
    <w:p>
      <w:pPr>
        <w:pStyle w:val="6"/>
        <w:spacing w:before="156" w:beforeLines="50" w:line="400" w:lineRule="exact"/>
        <w:ind w:firstLine="210" w:firstLineChars="100"/>
        <w:rPr>
          <w:rFonts w:hint="eastAsia" w:ascii="宋体" w:hAnsi="宋体"/>
          <w:sz w:val="21"/>
          <w:szCs w:val="21"/>
          <w:highlight w:val="none"/>
          <w:lang w:val="en-US" w:eastAsia="zh-CN"/>
        </w:rPr>
      </w:pPr>
      <w:r>
        <w:rPr>
          <w:rFonts w:hint="eastAsia" w:ascii="宋体" w:hAnsi="宋体"/>
          <w:sz w:val="21"/>
          <w:szCs w:val="21"/>
          <w:highlight w:val="none"/>
        </w:rPr>
        <w:t>项目编号：JYCG2022020</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widowControl/>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widowControl/>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jc w:val="center"/>
              <w:rPr>
                <w:rFonts w:ascii="宋体" w:hAnsi="宋体" w:cs="宋体"/>
                <w:color w:val="000000"/>
                <w:kern w:val="0"/>
                <w:szCs w:val="22"/>
                <w:highlight w:val="none"/>
              </w:rPr>
            </w:pPr>
          </w:p>
        </w:tc>
        <w:tc>
          <w:tcPr>
            <w:tcW w:w="4354" w:type="dxa"/>
            <w:noWrap w:val="0"/>
            <w:vAlign w:val="center"/>
          </w:tcPr>
          <w:p>
            <w:pPr>
              <w:widowControl/>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widowControl/>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jc w:val="center"/>
              <w:rPr>
                <w:rFonts w:hint="eastAsia" w:ascii="宋体" w:hAnsi="宋体" w:cs="宋体"/>
                <w:color w:val="000000"/>
                <w:kern w:val="0"/>
                <w:szCs w:val="22"/>
                <w:highlight w:val="none"/>
              </w:rPr>
            </w:pPr>
          </w:p>
        </w:tc>
        <w:tc>
          <w:tcPr>
            <w:tcW w:w="4354" w:type="dxa"/>
            <w:noWrap w:val="0"/>
            <w:vAlign w:val="center"/>
          </w:tcPr>
          <w:p>
            <w:pPr>
              <w:widowControl/>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widowControl/>
              <w:jc w:val="center"/>
              <w:rPr>
                <w:rFonts w:hint="eastAsia" w:ascii="宋体" w:hAnsi="宋体" w:cs="宋体"/>
                <w:color w:val="000000"/>
                <w:kern w:val="0"/>
                <w:szCs w:val="22"/>
                <w:highlight w:val="none"/>
              </w:rPr>
            </w:pPr>
          </w:p>
        </w:tc>
      </w:tr>
    </w:tbl>
    <w:p>
      <w:pPr>
        <w:pStyle w:val="6"/>
        <w:spacing w:after="156" w:afterLines="50" w:line="400" w:lineRule="exact"/>
        <w:ind w:firstLine="0" w:firstLineChars="0"/>
        <w:rPr>
          <w:rFonts w:hint="eastAsia" w:ascii="宋体" w:hAnsi="宋体"/>
          <w:sz w:val="21"/>
          <w:szCs w:val="21"/>
          <w:highlight w:val="none"/>
        </w:rPr>
      </w:pPr>
    </w:p>
    <w:p>
      <w:pPr>
        <w:pStyle w:val="6"/>
        <w:spacing w:after="156" w:afterLines="50" w:line="400" w:lineRule="exact"/>
        <w:ind w:firstLine="210" w:firstLineChars="100"/>
        <w:rPr>
          <w:rFonts w:hint="eastAsia" w:ascii="宋体" w:hAnsi="宋体"/>
          <w:sz w:val="21"/>
          <w:szCs w:val="21"/>
        </w:rPr>
      </w:pPr>
      <w:r>
        <w:rPr>
          <w:rFonts w:hint="eastAsia" w:ascii="宋体" w:hAnsi="宋体"/>
          <w:sz w:val="21"/>
          <w:szCs w:val="21"/>
        </w:rPr>
        <w:t>注明</w:t>
      </w:r>
    </w:p>
    <w:p>
      <w:pPr>
        <w:pStyle w:val="6"/>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9.715</w:t>
      </w:r>
      <w:r>
        <w:rPr>
          <w:rFonts w:hint="eastAsia" w:ascii="宋体" w:hAnsi="宋体"/>
          <w:b/>
          <w:bCs/>
          <w:sz w:val="21"/>
          <w:szCs w:val="21"/>
          <w:lang w:val="en-US" w:eastAsia="zh-CN"/>
        </w:rPr>
        <w:t>万元，否则作否决评审处理。</w:t>
      </w:r>
    </w:p>
    <w:p>
      <w:pPr>
        <w:pStyle w:val="6"/>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6"/>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6"/>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6"/>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p>
    <w:p>
      <w:pPr>
        <w:pStyle w:val="6"/>
        <w:spacing w:after="156" w:afterLines="50" w:line="400" w:lineRule="exact"/>
        <w:ind w:firstLine="210" w:firstLineChars="100"/>
        <w:rPr>
          <w:rFonts w:hint="eastAsia" w:ascii="宋体" w:hAnsi="宋体"/>
          <w:sz w:val="21"/>
          <w:szCs w:val="21"/>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6"/>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pStyle w:val="6"/>
        <w:spacing w:after="156" w:afterLines="50" w:line="360" w:lineRule="auto"/>
        <w:ind w:firstLine="206" w:firstLineChars="100"/>
        <w:jc w:val="right"/>
        <w:rPr>
          <w:rFonts w:hint="eastAsia" w:ascii="宋体" w:hAnsi="宋体"/>
          <w:sz w:val="21"/>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15"/>
        <w:ind w:left="0" w:leftChars="0" w:firstLine="0" w:firstLineChars="0"/>
        <w:rPr>
          <w:rFonts w:hint="eastAsia"/>
        </w:rPr>
      </w:pPr>
    </w:p>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第 </w:t>
                          </w:r>
                          <w:r>
                            <w:fldChar w:fldCharType="begin"/>
                          </w:r>
                          <w:r>
                            <w:instrText xml:space="preserve"> PAGE  \* MERGEFORMAT </w:instrText>
                          </w:r>
                          <w:r>
                            <w:fldChar w:fldCharType="separate"/>
                          </w:r>
                          <w:r>
                            <w:t>- 0 -</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2"/>
                    </w:pPr>
                    <w:r>
                      <w:t xml:space="preserve">第 </w:t>
                    </w:r>
                    <w:r>
                      <w:fldChar w:fldCharType="begin"/>
                    </w:r>
                    <w:r>
                      <w:instrText xml:space="preserve"> PAGE  \* MERGEFORMAT </w:instrText>
                    </w:r>
                    <w:r>
                      <w:fldChar w:fldCharType="separate"/>
                    </w:r>
                    <w:r>
                      <w:t>- 0 -</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49</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2"/>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2"/>
                      <w:rPr>
                        <w:rFonts w:hint="eastAsia" w:eastAsia="宋体"/>
                        <w:lang w:eastAsia="zh-CN"/>
                      </w:rPr>
                    </w:pP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49</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2"/>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2"/>
                      <w:rPr>
                        <w:rFonts w:hint="eastAsia" w:eastAsia="宋体"/>
                        <w:lang w:eastAsia="zh-CN"/>
                      </w:rPr>
                    </w:pPr>
                  </w:p>
                </w:txbxContent>
              </v:textbox>
            </v:shape>
          </w:pict>
        </mc:Fallback>
      </mc:AlternateContent>
    </w:r>
  </w:p>
  <w:p>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49</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49</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D1261"/>
    <w:multiLevelType w:val="singleLevel"/>
    <w:tmpl w:val="825D1261"/>
    <w:lvl w:ilvl="0" w:tentative="0">
      <w:start w:val="1"/>
      <w:numFmt w:val="decimal"/>
      <w:lvlText w:val="(%1)"/>
      <w:lvlJc w:val="left"/>
      <w:pPr>
        <w:ind w:left="425" w:hanging="425"/>
      </w:pPr>
      <w:rPr>
        <w:rFonts w:hint="default"/>
      </w:rPr>
    </w:lvl>
  </w:abstractNum>
  <w:abstractNum w:abstractNumId="1">
    <w:nsid w:val="A704DC7F"/>
    <w:multiLevelType w:val="singleLevel"/>
    <w:tmpl w:val="A704DC7F"/>
    <w:lvl w:ilvl="0" w:tentative="0">
      <w:start w:val="1"/>
      <w:numFmt w:val="chineseCounting"/>
      <w:suff w:val="nothing"/>
      <w:lvlText w:val="（%1）"/>
      <w:lvlJc w:val="left"/>
      <w:pPr>
        <w:ind w:left="0" w:firstLine="420"/>
      </w:pPr>
      <w:rPr>
        <w:rFonts w:hint="eastAsia"/>
      </w:rPr>
    </w:lvl>
  </w:abstractNum>
  <w:abstractNum w:abstractNumId="2">
    <w:nsid w:val="ABD7A935"/>
    <w:multiLevelType w:val="singleLevel"/>
    <w:tmpl w:val="ABD7A935"/>
    <w:lvl w:ilvl="0" w:tentative="0">
      <w:start w:val="1"/>
      <w:numFmt w:val="decimal"/>
      <w:lvlText w:val="%1."/>
      <w:lvlJc w:val="left"/>
      <w:pPr>
        <w:ind w:left="425" w:hanging="425"/>
      </w:pPr>
      <w:rPr>
        <w:rFonts w:hint="default"/>
      </w:rPr>
    </w:lvl>
  </w:abstractNum>
  <w:abstractNum w:abstractNumId="3">
    <w:nsid w:val="BF1B5642"/>
    <w:multiLevelType w:val="singleLevel"/>
    <w:tmpl w:val="BF1B5642"/>
    <w:lvl w:ilvl="0" w:tentative="0">
      <w:start w:val="1"/>
      <w:numFmt w:val="decimal"/>
      <w:lvlText w:val="(%1)"/>
      <w:lvlJc w:val="left"/>
      <w:pPr>
        <w:ind w:left="425" w:hanging="425"/>
      </w:pPr>
      <w:rPr>
        <w:rFonts w:hint="default"/>
      </w:rPr>
    </w:lvl>
  </w:abstractNum>
  <w:abstractNum w:abstractNumId="4">
    <w:nsid w:val="DEF38F23"/>
    <w:multiLevelType w:val="singleLevel"/>
    <w:tmpl w:val="DEF38F23"/>
    <w:lvl w:ilvl="0" w:tentative="0">
      <w:start w:val="1"/>
      <w:numFmt w:val="decimal"/>
      <w:lvlText w:val="%1."/>
      <w:lvlJc w:val="left"/>
      <w:pPr>
        <w:ind w:left="425" w:hanging="425"/>
      </w:pPr>
      <w:rPr>
        <w:rFonts w:hint="default"/>
      </w:rPr>
    </w:lvl>
  </w:abstractNum>
  <w:abstractNum w:abstractNumId="5">
    <w:nsid w:val="EC721FD7"/>
    <w:multiLevelType w:val="singleLevel"/>
    <w:tmpl w:val="EC721FD7"/>
    <w:lvl w:ilvl="0" w:tentative="0">
      <w:start w:val="1"/>
      <w:numFmt w:val="decimal"/>
      <w:lvlText w:val="%1."/>
      <w:lvlJc w:val="left"/>
      <w:pPr>
        <w:ind w:left="425" w:hanging="425"/>
      </w:pPr>
      <w:rPr>
        <w:rFonts w:hint="default"/>
      </w:rPr>
    </w:lvl>
  </w:abstractNum>
  <w:abstractNum w:abstractNumId="6">
    <w:nsid w:val="F1B39EFB"/>
    <w:multiLevelType w:val="singleLevel"/>
    <w:tmpl w:val="F1B39EFB"/>
    <w:lvl w:ilvl="0" w:tentative="0">
      <w:start w:val="1"/>
      <w:numFmt w:val="chineseCounting"/>
      <w:suff w:val="nothing"/>
      <w:lvlText w:val="（%1）"/>
      <w:lvlJc w:val="left"/>
      <w:pPr>
        <w:ind w:left="0" w:firstLine="420"/>
      </w:pPr>
      <w:rPr>
        <w:rFonts w:hint="eastAsia"/>
      </w:rPr>
    </w:lvl>
  </w:abstractNum>
  <w:abstractNum w:abstractNumId="7">
    <w:nsid w:val="FED98C0D"/>
    <w:multiLevelType w:val="multilevel"/>
    <w:tmpl w:val="FED98C0D"/>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8">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4A0A9DB"/>
    <w:multiLevelType w:val="singleLevel"/>
    <w:tmpl w:val="14A0A9DB"/>
    <w:lvl w:ilvl="0" w:tentative="0">
      <w:start w:val="1"/>
      <w:numFmt w:val="decimal"/>
      <w:lvlText w:val="(%1)"/>
      <w:lvlJc w:val="left"/>
      <w:pPr>
        <w:ind w:left="425" w:hanging="425"/>
      </w:pPr>
      <w:rPr>
        <w:rFonts w:hint="default"/>
      </w:rPr>
    </w:lvl>
  </w:abstractNum>
  <w:abstractNum w:abstractNumId="12">
    <w:nsid w:val="4BDB4E6C"/>
    <w:multiLevelType w:val="singleLevel"/>
    <w:tmpl w:val="4BDB4E6C"/>
    <w:lvl w:ilvl="0" w:tentative="0">
      <w:start w:val="1"/>
      <w:numFmt w:val="chineseCounting"/>
      <w:suff w:val="nothing"/>
      <w:lvlText w:val="（%1）"/>
      <w:lvlJc w:val="left"/>
      <w:pPr>
        <w:ind w:left="0" w:firstLine="420"/>
      </w:pPr>
      <w:rPr>
        <w:rFonts w:hint="eastAsia"/>
      </w:rPr>
    </w:lvl>
  </w:abstractNum>
  <w:abstractNum w:abstractNumId="13">
    <w:nsid w:val="5D4C7A07"/>
    <w:multiLevelType w:val="singleLevel"/>
    <w:tmpl w:val="5D4C7A07"/>
    <w:lvl w:ilvl="0" w:tentative="0">
      <w:start w:val="1"/>
      <w:numFmt w:val="decimal"/>
      <w:lvlText w:val="%1."/>
      <w:lvlJc w:val="left"/>
      <w:pPr>
        <w:ind w:left="425" w:hanging="425"/>
      </w:pPr>
      <w:rPr>
        <w:rFonts w:hint="default"/>
      </w:rPr>
    </w:lvl>
  </w:abstractNum>
  <w:abstractNum w:abstractNumId="14">
    <w:nsid w:val="62D5972F"/>
    <w:multiLevelType w:val="singleLevel"/>
    <w:tmpl w:val="62D5972F"/>
    <w:lvl w:ilvl="0" w:tentative="0">
      <w:start w:val="1"/>
      <w:numFmt w:val="decimal"/>
      <w:lvlText w:val="(%1)"/>
      <w:lvlJc w:val="left"/>
      <w:pPr>
        <w:ind w:left="425" w:hanging="425"/>
      </w:pPr>
      <w:rPr>
        <w:rFonts w:hint="default"/>
      </w:rPr>
    </w:lvl>
  </w:abstractNum>
  <w:num w:numId="1">
    <w:abstractNumId w:val="9"/>
  </w:num>
  <w:num w:numId="2">
    <w:abstractNumId w:val="8"/>
  </w:num>
  <w:num w:numId="3">
    <w:abstractNumId w:val="10"/>
  </w:num>
  <w:num w:numId="4">
    <w:abstractNumId w:val="12"/>
  </w:num>
  <w:num w:numId="5">
    <w:abstractNumId w:val="2"/>
  </w:num>
  <w:num w:numId="6">
    <w:abstractNumId w:val="11"/>
  </w:num>
  <w:num w:numId="7">
    <w:abstractNumId w:val="0"/>
  </w:num>
  <w:num w:numId="8">
    <w:abstractNumId w:val="1"/>
  </w:num>
  <w:num w:numId="9">
    <w:abstractNumId w:val="6"/>
  </w:num>
  <w:num w:numId="10">
    <w:abstractNumId w:val="4"/>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A4566"/>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F90339"/>
    <w:rsid w:val="01FE4E2A"/>
    <w:rsid w:val="02AE7397"/>
    <w:rsid w:val="02D1496E"/>
    <w:rsid w:val="02D21B2C"/>
    <w:rsid w:val="03497249"/>
    <w:rsid w:val="038E3C24"/>
    <w:rsid w:val="03A64E6E"/>
    <w:rsid w:val="03C17756"/>
    <w:rsid w:val="042030EF"/>
    <w:rsid w:val="0444451A"/>
    <w:rsid w:val="04950198"/>
    <w:rsid w:val="04B55777"/>
    <w:rsid w:val="05414242"/>
    <w:rsid w:val="054F1491"/>
    <w:rsid w:val="057B3CE3"/>
    <w:rsid w:val="05AB055B"/>
    <w:rsid w:val="05AE3D05"/>
    <w:rsid w:val="05AF1DE8"/>
    <w:rsid w:val="062D32C8"/>
    <w:rsid w:val="064572A6"/>
    <w:rsid w:val="066D1855"/>
    <w:rsid w:val="06841C73"/>
    <w:rsid w:val="06BA3F73"/>
    <w:rsid w:val="06F35C10"/>
    <w:rsid w:val="07162500"/>
    <w:rsid w:val="0774419D"/>
    <w:rsid w:val="07A20F82"/>
    <w:rsid w:val="07AC659B"/>
    <w:rsid w:val="081E2BC9"/>
    <w:rsid w:val="08252677"/>
    <w:rsid w:val="082A5712"/>
    <w:rsid w:val="08381575"/>
    <w:rsid w:val="088A5722"/>
    <w:rsid w:val="08A444F9"/>
    <w:rsid w:val="08F11128"/>
    <w:rsid w:val="093351BD"/>
    <w:rsid w:val="09537C12"/>
    <w:rsid w:val="09AC430D"/>
    <w:rsid w:val="09B675FB"/>
    <w:rsid w:val="09B82BF4"/>
    <w:rsid w:val="09E87633"/>
    <w:rsid w:val="0A021577"/>
    <w:rsid w:val="0A0E56A7"/>
    <w:rsid w:val="0A452B4D"/>
    <w:rsid w:val="0A8638F7"/>
    <w:rsid w:val="0A8B6F85"/>
    <w:rsid w:val="0A903F75"/>
    <w:rsid w:val="0AE83AC1"/>
    <w:rsid w:val="0AF406AA"/>
    <w:rsid w:val="0B75359F"/>
    <w:rsid w:val="0C510146"/>
    <w:rsid w:val="0C8126D5"/>
    <w:rsid w:val="0CB63A18"/>
    <w:rsid w:val="0D172C2E"/>
    <w:rsid w:val="0D651B0C"/>
    <w:rsid w:val="0DF61BC5"/>
    <w:rsid w:val="0E021902"/>
    <w:rsid w:val="0E202D0A"/>
    <w:rsid w:val="0E8C2FC7"/>
    <w:rsid w:val="0EFC6CD4"/>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BF3F3A"/>
    <w:rsid w:val="11E64778"/>
    <w:rsid w:val="11F13ED3"/>
    <w:rsid w:val="120A09CE"/>
    <w:rsid w:val="12366443"/>
    <w:rsid w:val="125D76FB"/>
    <w:rsid w:val="125F2C05"/>
    <w:rsid w:val="128C63AB"/>
    <w:rsid w:val="12905CE1"/>
    <w:rsid w:val="1297021D"/>
    <w:rsid w:val="12973ED8"/>
    <w:rsid w:val="12FF7D7D"/>
    <w:rsid w:val="137443A7"/>
    <w:rsid w:val="13A675D2"/>
    <w:rsid w:val="141F5F35"/>
    <w:rsid w:val="154340A7"/>
    <w:rsid w:val="154D1F34"/>
    <w:rsid w:val="156E7D53"/>
    <w:rsid w:val="15B648C8"/>
    <w:rsid w:val="15DD6E8A"/>
    <w:rsid w:val="164C7238"/>
    <w:rsid w:val="16A42B33"/>
    <w:rsid w:val="16C663A8"/>
    <w:rsid w:val="171C6375"/>
    <w:rsid w:val="172D21F2"/>
    <w:rsid w:val="173443CD"/>
    <w:rsid w:val="17856BFA"/>
    <w:rsid w:val="17A62687"/>
    <w:rsid w:val="17CF2D50"/>
    <w:rsid w:val="183A3FC9"/>
    <w:rsid w:val="187A1210"/>
    <w:rsid w:val="18924DEC"/>
    <w:rsid w:val="18C20E7F"/>
    <w:rsid w:val="18CD566B"/>
    <w:rsid w:val="18EC6A96"/>
    <w:rsid w:val="19170956"/>
    <w:rsid w:val="191735B5"/>
    <w:rsid w:val="193E0E9E"/>
    <w:rsid w:val="19701130"/>
    <w:rsid w:val="197B4315"/>
    <w:rsid w:val="199D176C"/>
    <w:rsid w:val="1A047C39"/>
    <w:rsid w:val="1A0C1DFC"/>
    <w:rsid w:val="1A581F3D"/>
    <w:rsid w:val="1A9C3C14"/>
    <w:rsid w:val="1AC13F43"/>
    <w:rsid w:val="1AC50642"/>
    <w:rsid w:val="1ADF05F0"/>
    <w:rsid w:val="1ADF18A8"/>
    <w:rsid w:val="1B653F03"/>
    <w:rsid w:val="1B883711"/>
    <w:rsid w:val="1B9A0CF2"/>
    <w:rsid w:val="1BCA55E1"/>
    <w:rsid w:val="1BDF2D82"/>
    <w:rsid w:val="1C5E03C0"/>
    <w:rsid w:val="1C73500A"/>
    <w:rsid w:val="1CAB4C1C"/>
    <w:rsid w:val="1D4B48E9"/>
    <w:rsid w:val="1D6568D7"/>
    <w:rsid w:val="1E0E0074"/>
    <w:rsid w:val="1E480D86"/>
    <w:rsid w:val="1E753820"/>
    <w:rsid w:val="1E8F2E2F"/>
    <w:rsid w:val="1F5A2386"/>
    <w:rsid w:val="1FA03E96"/>
    <w:rsid w:val="1FF51387"/>
    <w:rsid w:val="207B7D6E"/>
    <w:rsid w:val="20A44305"/>
    <w:rsid w:val="216401D4"/>
    <w:rsid w:val="21772201"/>
    <w:rsid w:val="218B7201"/>
    <w:rsid w:val="21D2552D"/>
    <w:rsid w:val="21D25BEB"/>
    <w:rsid w:val="21DE7A38"/>
    <w:rsid w:val="22141572"/>
    <w:rsid w:val="228E277C"/>
    <w:rsid w:val="22B03E59"/>
    <w:rsid w:val="22BF42D4"/>
    <w:rsid w:val="22C21D83"/>
    <w:rsid w:val="22D16A5E"/>
    <w:rsid w:val="2318497A"/>
    <w:rsid w:val="23305E9B"/>
    <w:rsid w:val="23401AE2"/>
    <w:rsid w:val="234B29F4"/>
    <w:rsid w:val="23A61C99"/>
    <w:rsid w:val="23CD4FD3"/>
    <w:rsid w:val="23CE635C"/>
    <w:rsid w:val="24350AF3"/>
    <w:rsid w:val="24415FFD"/>
    <w:rsid w:val="2443573A"/>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61E17"/>
    <w:rsid w:val="2975293D"/>
    <w:rsid w:val="29D54277"/>
    <w:rsid w:val="2A171EDE"/>
    <w:rsid w:val="2A433672"/>
    <w:rsid w:val="2A6460D6"/>
    <w:rsid w:val="2A9767DF"/>
    <w:rsid w:val="2A9D5CE7"/>
    <w:rsid w:val="2AB6665E"/>
    <w:rsid w:val="2ACA36A2"/>
    <w:rsid w:val="2ACA67DF"/>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E8186A"/>
    <w:rsid w:val="2F4A0B38"/>
    <w:rsid w:val="2FAC21CD"/>
    <w:rsid w:val="30243EED"/>
    <w:rsid w:val="30432839"/>
    <w:rsid w:val="306F0895"/>
    <w:rsid w:val="30FF31ED"/>
    <w:rsid w:val="314337B0"/>
    <w:rsid w:val="31485D40"/>
    <w:rsid w:val="317F1024"/>
    <w:rsid w:val="31B15E66"/>
    <w:rsid w:val="31F47D73"/>
    <w:rsid w:val="32406340"/>
    <w:rsid w:val="32613CC6"/>
    <w:rsid w:val="32903869"/>
    <w:rsid w:val="32B01FA1"/>
    <w:rsid w:val="33363678"/>
    <w:rsid w:val="334239C4"/>
    <w:rsid w:val="33554ACD"/>
    <w:rsid w:val="33560F33"/>
    <w:rsid w:val="339C48A2"/>
    <w:rsid w:val="33C068FF"/>
    <w:rsid w:val="3409049A"/>
    <w:rsid w:val="35271C34"/>
    <w:rsid w:val="353F68E0"/>
    <w:rsid w:val="354F47DF"/>
    <w:rsid w:val="356A2FE2"/>
    <w:rsid w:val="35CA61C6"/>
    <w:rsid w:val="35F222B0"/>
    <w:rsid w:val="363767BF"/>
    <w:rsid w:val="36674791"/>
    <w:rsid w:val="369F6B14"/>
    <w:rsid w:val="36EC2F70"/>
    <w:rsid w:val="36F34AF8"/>
    <w:rsid w:val="36FA574E"/>
    <w:rsid w:val="36FF11AE"/>
    <w:rsid w:val="378B555D"/>
    <w:rsid w:val="37C92DAA"/>
    <w:rsid w:val="385064FB"/>
    <w:rsid w:val="38B91D2D"/>
    <w:rsid w:val="38F01933"/>
    <w:rsid w:val="39311BAD"/>
    <w:rsid w:val="39C026EF"/>
    <w:rsid w:val="39FD22D8"/>
    <w:rsid w:val="3A193C0C"/>
    <w:rsid w:val="3A3E5D50"/>
    <w:rsid w:val="3A872302"/>
    <w:rsid w:val="3AC15743"/>
    <w:rsid w:val="3AD96960"/>
    <w:rsid w:val="3B164910"/>
    <w:rsid w:val="3B2319C9"/>
    <w:rsid w:val="3B792FB4"/>
    <w:rsid w:val="3B9851F2"/>
    <w:rsid w:val="3BBA42A4"/>
    <w:rsid w:val="3BE458B3"/>
    <w:rsid w:val="3C8F62BD"/>
    <w:rsid w:val="3C9B6A17"/>
    <w:rsid w:val="3CF3060A"/>
    <w:rsid w:val="3CFE1B48"/>
    <w:rsid w:val="3D421694"/>
    <w:rsid w:val="3DD91541"/>
    <w:rsid w:val="3DF605BA"/>
    <w:rsid w:val="3EB17E1D"/>
    <w:rsid w:val="3EBC6614"/>
    <w:rsid w:val="3ECA0C55"/>
    <w:rsid w:val="3F235BB1"/>
    <w:rsid w:val="3F6F4848"/>
    <w:rsid w:val="3FA87864"/>
    <w:rsid w:val="3FAB2C21"/>
    <w:rsid w:val="3FBB1A3C"/>
    <w:rsid w:val="406D0491"/>
    <w:rsid w:val="40813AF9"/>
    <w:rsid w:val="40A73739"/>
    <w:rsid w:val="40E30C0C"/>
    <w:rsid w:val="40F94FD0"/>
    <w:rsid w:val="4153493F"/>
    <w:rsid w:val="41552B17"/>
    <w:rsid w:val="41A93A5E"/>
    <w:rsid w:val="42235F11"/>
    <w:rsid w:val="425E06FF"/>
    <w:rsid w:val="42883F4D"/>
    <w:rsid w:val="42DC7EA7"/>
    <w:rsid w:val="432354F3"/>
    <w:rsid w:val="432F4EB5"/>
    <w:rsid w:val="4350229A"/>
    <w:rsid w:val="436D5033"/>
    <w:rsid w:val="436E3B7C"/>
    <w:rsid w:val="43AD124F"/>
    <w:rsid w:val="44051E15"/>
    <w:rsid w:val="44302D9F"/>
    <w:rsid w:val="445A3BDC"/>
    <w:rsid w:val="447E6BF8"/>
    <w:rsid w:val="44D657A6"/>
    <w:rsid w:val="44DB6FA9"/>
    <w:rsid w:val="451342AE"/>
    <w:rsid w:val="454B5932"/>
    <w:rsid w:val="458F5117"/>
    <w:rsid w:val="45C739E4"/>
    <w:rsid w:val="462560E7"/>
    <w:rsid w:val="465D6052"/>
    <w:rsid w:val="468F65D5"/>
    <w:rsid w:val="4706641A"/>
    <w:rsid w:val="47C373F7"/>
    <w:rsid w:val="47D51941"/>
    <w:rsid w:val="47FF073F"/>
    <w:rsid w:val="4835471E"/>
    <w:rsid w:val="484F6F25"/>
    <w:rsid w:val="48577140"/>
    <w:rsid w:val="48ED5B79"/>
    <w:rsid w:val="493C52F8"/>
    <w:rsid w:val="49601FEE"/>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9710ED"/>
    <w:rsid w:val="4CCF19C2"/>
    <w:rsid w:val="4CF163AF"/>
    <w:rsid w:val="4CF60437"/>
    <w:rsid w:val="4D1F52F9"/>
    <w:rsid w:val="4D3408CC"/>
    <w:rsid w:val="4D491894"/>
    <w:rsid w:val="4D764FBA"/>
    <w:rsid w:val="4DC0318A"/>
    <w:rsid w:val="4E0256F8"/>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896FB1"/>
    <w:rsid w:val="51944BF2"/>
    <w:rsid w:val="520F2C90"/>
    <w:rsid w:val="5290040A"/>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B00A08"/>
    <w:rsid w:val="57C245EC"/>
    <w:rsid w:val="58000842"/>
    <w:rsid w:val="58020E8D"/>
    <w:rsid w:val="5806207D"/>
    <w:rsid w:val="580A2B1D"/>
    <w:rsid w:val="581D7A74"/>
    <w:rsid w:val="585E04CA"/>
    <w:rsid w:val="587603BB"/>
    <w:rsid w:val="589A379A"/>
    <w:rsid w:val="58A923A7"/>
    <w:rsid w:val="58AC71FE"/>
    <w:rsid w:val="58B9525D"/>
    <w:rsid w:val="58C76844"/>
    <w:rsid w:val="58EF73ED"/>
    <w:rsid w:val="59096A17"/>
    <w:rsid w:val="5931634A"/>
    <w:rsid w:val="59582D2E"/>
    <w:rsid w:val="5A10596A"/>
    <w:rsid w:val="5A713111"/>
    <w:rsid w:val="5AC84840"/>
    <w:rsid w:val="5ACD0EEE"/>
    <w:rsid w:val="5AF234AD"/>
    <w:rsid w:val="5B1117AC"/>
    <w:rsid w:val="5B1B3419"/>
    <w:rsid w:val="5B1F24B5"/>
    <w:rsid w:val="5B4D15C8"/>
    <w:rsid w:val="5BBA264D"/>
    <w:rsid w:val="5BF63CC5"/>
    <w:rsid w:val="5BFF4433"/>
    <w:rsid w:val="5C007F65"/>
    <w:rsid w:val="5C126102"/>
    <w:rsid w:val="5C8D50E4"/>
    <w:rsid w:val="5CAC225F"/>
    <w:rsid w:val="5D791456"/>
    <w:rsid w:val="5E003D62"/>
    <w:rsid w:val="5E1D2F5F"/>
    <w:rsid w:val="5E1F68D7"/>
    <w:rsid w:val="5E4044BD"/>
    <w:rsid w:val="5E705DCB"/>
    <w:rsid w:val="5E8401FB"/>
    <w:rsid w:val="5EF7101F"/>
    <w:rsid w:val="5F07564B"/>
    <w:rsid w:val="5F7222BB"/>
    <w:rsid w:val="5FB4425C"/>
    <w:rsid w:val="60362333"/>
    <w:rsid w:val="606201E6"/>
    <w:rsid w:val="60697FB8"/>
    <w:rsid w:val="60AF6137"/>
    <w:rsid w:val="613C03DE"/>
    <w:rsid w:val="61462DFB"/>
    <w:rsid w:val="621C1918"/>
    <w:rsid w:val="623F09A5"/>
    <w:rsid w:val="625C33F1"/>
    <w:rsid w:val="628D3DA4"/>
    <w:rsid w:val="62B838E9"/>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26485A"/>
    <w:rsid w:val="65306E8B"/>
    <w:rsid w:val="653213E8"/>
    <w:rsid w:val="654E5610"/>
    <w:rsid w:val="65515E7C"/>
    <w:rsid w:val="65C21C5B"/>
    <w:rsid w:val="65EB2606"/>
    <w:rsid w:val="660151A6"/>
    <w:rsid w:val="662534DD"/>
    <w:rsid w:val="663E1F95"/>
    <w:rsid w:val="666A7B7A"/>
    <w:rsid w:val="668B029F"/>
    <w:rsid w:val="669B0E5B"/>
    <w:rsid w:val="66FE3D2F"/>
    <w:rsid w:val="67010850"/>
    <w:rsid w:val="67421DAD"/>
    <w:rsid w:val="675D12BD"/>
    <w:rsid w:val="67682AF0"/>
    <w:rsid w:val="67702FAE"/>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4B0471"/>
    <w:rsid w:val="6A675F83"/>
    <w:rsid w:val="6A73501D"/>
    <w:rsid w:val="6A9B43DC"/>
    <w:rsid w:val="6AAB470A"/>
    <w:rsid w:val="6AB147A8"/>
    <w:rsid w:val="6AEF027C"/>
    <w:rsid w:val="6B0D2907"/>
    <w:rsid w:val="6B5234EB"/>
    <w:rsid w:val="6B795CEE"/>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93460"/>
    <w:rsid w:val="701F7105"/>
    <w:rsid w:val="706B037C"/>
    <w:rsid w:val="70F108FE"/>
    <w:rsid w:val="710220D6"/>
    <w:rsid w:val="712C530F"/>
    <w:rsid w:val="71A52920"/>
    <w:rsid w:val="71BD1AA5"/>
    <w:rsid w:val="71BD4F2C"/>
    <w:rsid w:val="71D54B82"/>
    <w:rsid w:val="71DC542C"/>
    <w:rsid w:val="72171A52"/>
    <w:rsid w:val="72433DDE"/>
    <w:rsid w:val="724C122A"/>
    <w:rsid w:val="72DE211B"/>
    <w:rsid w:val="73671467"/>
    <w:rsid w:val="73940CC6"/>
    <w:rsid w:val="73D51888"/>
    <w:rsid w:val="73F82D3F"/>
    <w:rsid w:val="74152994"/>
    <w:rsid w:val="747834EA"/>
    <w:rsid w:val="748B70E8"/>
    <w:rsid w:val="748F7DB4"/>
    <w:rsid w:val="74DA4CAF"/>
    <w:rsid w:val="754C32EF"/>
    <w:rsid w:val="75507BBA"/>
    <w:rsid w:val="7568637B"/>
    <w:rsid w:val="759C3E88"/>
    <w:rsid w:val="75E4177A"/>
    <w:rsid w:val="75EA23D0"/>
    <w:rsid w:val="76092635"/>
    <w:rsid w:val="76371D16"/>
    <w:rsid w:val="763F235F"/>
    <w:rsid w:val="76A81529"/>
    <w:rsid w:val="76AA29C3"/>
    <w:rsid w:val="770E0228"/>
    <w:rsid w:val="77185B7F"/>
    <w:rsid w:val="771963FE"/>
    <w:rsid w:val="77456AFF"/>
    <w:rsid w:val="777F5641"/>
    <w:rsid w:val="77A03982"/>
    <w:rsid w:val="78870772"/>
    <w:rsid w:val="78D85046"/>
    <w:rsid w:val="790908D6"/>
    <w:rsid w:val="79213C3F"/>
    <w:rsid w:val="79447E35"/>
    <w:rsid w:val="79496500"/>
    <w:rsid w:val="7A2001DD"/>
    <w:rsid w:val="7A2710AE"/>
    <w:rsid w:val="7A4E4B3A"/>
    <w:rsid w:val="7A6C03CC"/>
    <w:rsid w:val="7A8F6158"/>
    <w:rsid w:val="7AC9071F"/>
    <w:rsid w:val="7AD43E56"/>
    <w:rsid w:val="7ADE75F7"/>
    <w:rsid w:val="7B607AF4"/>
    <w:rsid w:val="7BE74AEF"/>
    <w:rsid w:val="7C1F350C"/>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3"/>
    <w:next w:val="1"/>
    <w:qFormat/>
    <w:uiPriority w:val="0"/>
    <w:pPr>
      <w:keepNext/>
      <w:keepLines/>
      <w:spacing w:before="260" w:after="260" w:line="416" w:lineRule="auto"/>
      <w:outlineLvl w:val="1"/>
    </w:pPr>
    <w:rPr>
      <w:rFonts w:ascii="Cambria" w:hAnsi="Cambria"/>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32"/>
    <w:unhideWhenUsed/>
    <w:qFormat/>
    <w:uiPriority w:val="99"/>
    <w:pPr>
      <w:spacing w:after="120"/>
    </w:pPr>
  </w:style>
  <w:style w:type="paragraph" w:styleId="6">
    <w:name w:val="Normal Indent"/>
    <w:basedOn w:val="1"/>
    <w:qFormat/>
    <w:uiPriority w:val="0"/>
    <w:pPr>
      <w:ind w:firstLine="420" w:firstLineChars="200"/>
    </w:pPr>
  </w:style>
  <w:style w:type="paragraph" w:styleId="7">
    <w:name w:val="annotation text"/>
    <w:basedOn w:val="1"/>
    <w:unhideWhenUsed/>
    <w:qFormat/>
    <w:uiPriority w:val="0"/>
    <w:pPr>
      <w:jc w:val="left"/>
    </w:pPr>
  </w:style>
  <w:style w:type="paragraph" w:styleId="8">
    <w:name w:val="index 6"/>
    <w:basedOn w:val="1"/>
    <w:next w:val="1"/>
    <w:qFormat/>
    <w:uiPriority w:val="0"/>
    <w:pPr>
      <w:widowControl/>
      <w:tabs>
        <w:tab w:val="left" w:pos="567"/>
      </w:tabs>
      <w:ind w:left="1000" w:leftChars="1000"/>
    </w:pPr>
    <w:rPr>
      <w:rFonts w:ascii="Calibri" w:hAnsi="Calibri" w:eastAsia="宋体" w:cs="Calibri"/>
      <w:szCs w:val="21"/>
    </w:rPr>
  </w:style>
  <w:style w:type="paragraph" w:styleId="9">
    <w:name w:val="Body Text 3"/>
    <w:basedOn w:val="1"/>
    <w:qFormat/>
    <w:uiPriority w:val="0"/>
    <w:rPr>
      <w:rFonts w:ascii="宋体"/>
      <w:kern w:val="0"/>
      <w:sz w:val="24"/>
    </w:r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4">
    <w:name w:val="toc 1"/>
    <w:basedOn w:val="1"/>
    <w:next w:val="1"/>
    <w:qFormat/>
    <w:uiPriority w:val="39"/>
    <w:pPr>
      <w:spacing w:before="120" w:after="120"/>
      <w:jc w:val="left"/>
    </w:pPr>
    <w:rPr>
      <w:rFonts w:ascii="Calibri" w:hAnsi="Calibri" w:eastAsia="宋体" w:cs="Calibri"/>
      <w:b/>
      <w:bCs/>
      <w:caps/>
      <w:sz w:val="20"/>
    </w:rPr>
  </w:style>
  <w:style w:type="paragraph" w:styleId="15">
    <w:name w:val="toc 2"/>
    <w:basedOn w:val="1"/>
    <w:next w:val="1"/>
    <w:unhideWhenUsed/>
    <w:qFormat/>
    <w:uiPriority w:val="39"/>
    <w:pPr>
      <w:spacing w:after="156"/>
      <w:ind w:left="480" w:leftChars="200"/>
    </w:pPr>
  </w:style>
  <w:style w:type="paragraph" w:styleId="16">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7">
    <w:name w:val="Body Text First Indent"/>
    <w:basedOn w:val="2"/>
    <w:qFormat/>
    <w:uiPriority w:val="0"/>
    <w:pPr>
      <w:spacing w:after="120" w:line="240" w:lineRule="auto"/>
      <w:ind w:firstLine="420" w:firstLineChars="100"/>
    </w:pPr>
    <w:rPr>
      <w:rFonts w:ascii="Times New Roman"/>
      <w:sz w:val="30"/>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3"/>
    <w:qFormat/>
    <w:uiPriority w:val="99"/>
    <w:rPr>
      <w:sz w:val="18"/>
      <w:szCs w:val="18"/>
    </w:rPr>
  </w:style>
  <w:style w:type="character" w:customStyle="1" w:styleId="24">
    <w:name w:val="页脚 Char"/>
    <w:basedOn w:val="19"/>
    <w:link w:val="12"/>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2"/>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5"/>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 w:type="paragraph" w:customStyle="1" w:styleId="43">
    <w:name w:val="表格正文"/>
    <w:basedOn w:val="1"/>
    <w:next w:val="1"/>
    <w:qFormat/>
    <w:uiPriority w:val="0"/>
    <w:pPr>
      <w:keepNext/>
      <w:keepLines/>
      <w:ind w:firstLine="0" w:firstLineChars="0"/>
      <w:jc w:val="center"/>
      <w:outlineLvl w:val="0"/>
    </w:pPr>
    <w:rPr>
      <w:rFonts w:hint="eastAsia"/>
      <w:kern w:val="44"/>
      <w:sz w:val="21"/>
    </w:rPr>
  </w:style>
  <w:style w:type="paragraph" w:customStyle="1" w:styleId="44">
    <w:name w:val="Table"/>
    <w:basedOn w:val="1"/>
    <w:qFormat/>
    <w:uiPriority w:val="0"/>
    <w:pPr>
      <w:spacing w:before="40" w:after="40"/>
    </w:pPr>
    <w:rPr>
      <w:rFonts w:ascii="Arial" w:hAnsi="Arial" w:eastAsia="宋体"/>
      <w:sz w:val="20"/>
      <w:szCs w:val="20"/>
      <w:lang w:val="en-US" w:eastAsia="zh-CN" w:bidi="ar-SA"/>
    </w:rPr>
  </w:style>
  <w:style w:type="paragraph" w:customStyle="1" w:styleId="45">
    <w:name w:val="正文首行缩进2字符"/>
    <w:basedOn w:val="1"/>
    <w:qFormat/>
    <w:uiPriority w:val="99"/>
    <w:pPr>
      <w:ind w:firstLine="482"/>
    </w:pPr>
  </w:style>
  <w:style w:type="character" w:customStyle="1" w:styleId="46">
    <w:name w:val="font41"/>
    <w:basedOn w:val="19"/>
    <w:qFormat/>
    <w:uiPriority w:val="0"/>
    <w:rPr>
      <w:rFonts w:hint="eastAsia" w:ascii="宋体" w:hAnsi="宋体" w:eastAsia="宋体" w:cs="宋体"/>
      <w:color w:val="FF0000"/>
      <w:sz w:val="22"/>
      <w:szCs w:val="22"/>
      <w:u w:val="none"/>
    </w:rPr>
  </w:style>
  <w:style w:type="character" w:customStyle="1" w:styleId="47">
    <w:name w:val="font11"/>
    <w:basedOn w:val="19"/>
    <w:qFormat/>
    <w:uiPriority w:val="0"/>
    <w:rPr>
      <w:rFonts w:hint="eastAsia" w:ascii="宋体" w:hAnsi="宋体" w:eastAsia="宋体" w:cs="宋体"/>
      <w:color w:val="000000"/>
      <w:sz w:val="22"/>
      <w:szCs w:val="22"/>
      <w:u w:val="none"/>
    </w:rPr>
  </w:style>
  <w:style w:type="paragraph" w:customStyle="1" w:styleId="48">
    <w:name w:val="*正文"/>
    <w:basedOn w:val="1"/>
    <w:qFormat/>
    <w:uiPriority w:val="0"/>
    <w:pPr>
      <w:ind w:firstLine="480"/>
    </w:pPr>
    <w:rPr>
      <w:rFonts w:ascii="宋体" w:hAnsi="宋体"/>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49</Pages>
  <Words>26005</Words>
  <Characters>29746</Characters>
  <Lines>23</Lines>
  <Paragraphs>6</Paragraphs>
  <TotalTime>10</TotalTime>
  <ScaleCrop>false</ScaleCrop>
  <LinksUpToDate>false</LinksUpToDate>
  <CharactersWithSpaces>31099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林月霞</cp:lastModifiedBy>
  <cp:lastPrinted>2022-11-22T09:35:55Z</cp:lastPrinted>
  <dcterms:modified xsi:type="dcterms:W3CDTF">2022-11-22T09:36:37Z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68E2DCFCF39C4FC6B9C3047CF817853C</vt:lpwstr>
  </property>
</Properties>
</file>