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bookmarkStart w:id="0" w:name="_GoBack"/>
      <w:bookmarkEnd w:id="0"/>
      <w:r>
        <w:rPr>
          <w:rFonts w:hint="eastAsia" w:ascii="Times New Roman" w:hAnsi="Times New Roman" w:cs="Times New Roman" w:eastAsiaTheme="minorEastAsia"/>
          <w:b/>
          <w:bCs/>
          <w:kern w:val="44"/>
          <w:sz w:val="32"/>
          <w:szCs w:val="32"/>
          <w:highlight w:val="none"/>
          <w:lang w:val="en-US" w:eastAsia="zh-CN" w:bidi="ar-SA"/>
        </w:rPr>
        <w:t>数字江门网络建设有限公司产学研专利科研工具及配套技术支持服务采购需求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5"/>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cs="Times New Roman" w:hAnsiTheme="minorEastAsia"/>
          <w:kern w:val="0"/>
          <w:sz w:val="28"/>
          <w:szCs w:val="28"/>
          <w:lang w:val="en-US" w:eastAsia="zh-CN" w:bidi="ar-SA"/>
        </w:rPr>
        <w:t>为了促进5G应急产业以及社会治理产业项目孵化和培育，结合江海创智城市域社会治理创新中心展厅中数字江门公司展位需求和加强产学研相结合与资源优势上的协同与集成化，拟采购配套科研工具及技术支持服务。</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ind w:firstLine="560" w:firstLineChars="20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（一）提供产学研专利科研工具：</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5"/>
        <w:gridCol w:w="39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工具名称</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应急救援主基站</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应急救援副机</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全向发射天线</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应急电源</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硬盘录像机</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08"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摄像头</w:t>
            </w:r>
          </w:p>
        </w:tc>
        <w:tc>
          <w:tcPr>
            <w:tcW w:w="2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1</w:t>
            </w:r>
          </w:p>
        </w:tc>
      </w:tr>
    </w:tbl>
    <w:p>
      <w:pPr>
        <w:ind w:firstLine="560" w:firstLineChars="200"/>
        <w:rPr>
          <w:rFonts w:hint="eastAsia" w:ascii="仿宋" w:hAnsi="仿宋" w:eastAsia="仿宋" w:cs="仿宋"/>
          <w:b w:val="0"/>
          <w:bCs w:val="0"/>
          <w:color w:val="auto"/>
          <w:kern w:val="2"/>
          <w:sz w:val="28"/>
          <w:szCs w:val="28"/>
          <w:highlight w:val="none"/>
          <w:lang w:val="zh-CN" w:eastAsia="zh-CN" w:bidi="ar-SA"/>
        </w:rPr>
      </w:pPr>
      <w:r>
        <w:rPr>
          <w:rFonts w:hint="eastAsia" w:ascii="仿宋_GB2312" w:eastAsia="仿宋_GB2312" w:cs="Times New Roman" w:hAnsiTheme="minorEastAsia"/>
          <w:kern w:val="0"/>
          <w:sz w:val="28"/>
          <w:szCs w:val="28"/>
          <w:lang w:val="en-US" w:eastAsia="zh-CN" w:bidi="ar-SA"/>
        </w:rPr>
        <w:t>（二）提供配套技术支持服务：提供安装及调试，展厅现场部署及演示工作和相关配套技术支持服务（1年）。</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cs="Times New Roman" w:hAnsiTheme="minorEastAsia"/>
          <w:kern w:val="0"/>
          <w:sz w:val="28"/>
          <w:szCs w:val="28"/>
          <w:lang w:val="en-US" w:eastAsia="zh-CN" w:bidi="ar-SA"/>
        </w:rPr>
        <w:t>合同签订生效后7个日历天完成送货、安装、调试及交付使用，安装调试完毕后提供一年售后服务。</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技术要求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86"/>
        <w:gridCol w:w="6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产品名称</w:t>
            </w:r>
          </w:p>
        </w:tc>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8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应急救援主基站</w:t>
            </w:r>
          </w:p>
        </w:tc>
        <w:tc>
          <w:tcPr>
            <w:tcW w:w="0" w:type="auto"/>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工作频段：可分别工作在800MHZ、1.4GHZ和2.4GHZ</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最大发射功率：≤20dBm</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调制模式：LTE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无线频宽：20MHz</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功耗：≤5W</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无线距离：外置N头天线接口，传输距离以外接天线实际距离为准</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无线WIFI协议：IEEE802.11b/g/n</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以太网接口：1个10/100Mbps自协商以太网口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设置方式：WEB配对</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接入控制机制：基于MAC地址过滤机制</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加密协议：WEP,WPA,WPA2,AES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支持点对多点数量：≤4</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防水等级：IP65</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环境条件：-40-+65℃</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供电方式：POE 24V 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应急救援副机</w:t>
            </w:r>
          </w:p>
        </w:tc>
        <w:tc>
          <w:tcPr>
            <w:tcW w:w="0" w:type="auto"/>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工作频段：可分别工作在800MHZ、1.4GHZ和2.4GHZ</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最大发射功率：≤20dBm</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调制模式：LTE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无线频宽：20MHz</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功耗：≤5W</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无线距离：外置SMA头天线接口，传输距离以外接天线实际距离为准</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无线WIFI协议：IEEE802.11b/g/n</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以太网接口：1个10/100Mbps自协商以太网口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设置方式：WEB配对</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接入控制机制：基于MAC地址过滤机制</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加密协议：WEP,WPA,WPA2,AES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支持点对多点数量：≤4</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防水等级：IP65</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环境条件：-40-+65℃</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供电方式：DC 12V 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全向发射天线</w:t>
            </w:r>
          </w:p>
        </w:tc>
        <w:tc>
          <w:tcPr>
            <w:tcW w:w="0" w:type="auto"/>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频率范围：800～2600MHZ；</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增益：2*12 Dbi；</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水平波瓣宽度：360°；</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垂直波瓣宽度：13°；</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驻波比：＜1.5Type；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阻抗：50Ω；</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极化方式：双极化；</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最大功率：50W；</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接头型号：N*1；</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抗风强度：60m/s；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工作温度范围：-40～+60℃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应急电源</w:t>
            </w:r>
          </w:p>
        </w:tc>
        <w:tc>
          <w:tcPr>
            <w:tcW w:w="0" w:type="auto"/>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2000ah三元锂电：12V 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4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硬盘录像机</w:t>
            </w:r>
          </w:p>
        </w:tc>
        <w:tc>
          <w:tcPr>
            <w:tcW w:w="0" w:type="auto"/>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视频参数：H.265</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视频分辨率：5MP/4MP/3MP/1080p/UXGA/720p/VGA/4CIF/DCIF/2CIF/CIF/QCIF</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录像方式：手动录像，定时录像，事件录像，移动侦测录像，报警录像，动测或报警录像，动测且报警录像</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录像回放：支持4路同步回放</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回放模式：即时回放，常规回放，事件回放，标签回放，外部文件回放，日志回放</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备份方式：常规备份，事件备份，录像剪辑备份</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I/O接口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视频输入：4路，接入带宽40Mbps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视频输出：1路VGA输出，1路HDMI输出</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音频输出：1路，RCA接口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其它接口：外部接口：1个RJ-45 100M，2个USB2.0</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PoE：4个RJ-45 100M PoE供电接口，标准：IEEE802.3af/at，输出功率：≤40W</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语音对讲：1个，RCA接口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网络协议：IPv6，UPnP（即插即用），NTP（网络校时），SADP（自动搜索IP地址），PPPoE（拨号上网），DHCP（自动获取IP地址）</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本地存储：1个SATA接口，每个接口支持容量最大6TB的硬盘</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电源电压：DC 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40" w:hRule="atLeast"/>
        </w:trPr>
        <w:tc>
          <w:tcPr>
            <w:tcW w:w="0" w:type="auto"/>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摄像头</w:t>
            </w:r>
          </w:p>
        </w:tc>
        <w:tc>
          <w:tcPr>
            <w:tcW w:w="0" w:type="auto"/>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r>
              <w:rPr>
                <w:rFonts w:hint="eastAsia" w:ascii="方正仿宋_GBK" w:hAnsi="方正仿宋_GBK" w:eastAsia="方正仿宋_GBK" w:cs="方正仿宋_GBK"/>
                <w:i w:val="0"/>
                <w:iCs w:val="0"/>
                <w:color w:val="000000"/>
                <w:kern w:val="0"/>
                <w:sz w:val="21"/>
                <w:szCs w:val="21"/>
                <w:u w:val="none"/>
                <w:lang w:val="en-US" w:eastAsia="zh-CN" w:bidi="ar"/>
              </w:rPr>
              <w:t>分辨率可达2560×1440@25fps，在该分辨率下可输出实时图像</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智能侦测：支持越界侦测，区域入侵侦测</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支持背光补偿，强光抑制，3D数字降噪，120dB宽动态适应不同监控环境</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1个内置麦克风，高清拾音</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支持白光灯补光，远可达30m</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符合IP66防尘防水设计，可靠性高</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图像尺寸：2560×1440</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主码流帧率分辨率：50Hz：25fps（2560×1440，1920×1080，1280×720）</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子码流帧率分辨率：50Hz：25fps（640×480，640×360）*子码流帧率不能超过当前主码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视频压缩标准：主码流：H.265/H.264子码流：H.265/H.264/MJPEG</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视频压缩码率：32Kbps~8Mbps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H.264编码类型：BaseLine Profile/Main Profile/High Profile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H.265编码类型：Main Profile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Smart264编码：主码流支持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Smart265编码：主码流支持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码率控制：定码率，变码率</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SVC：支持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ROI：支持主码流设置1个固定区域</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smart功能</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报警触发：移动侦测，遮挡报警，异常</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Smart事件：越界侦测，区域入侵侦测</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音频</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音频环境噪声过滤：支持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音频采样率：8kHz/16kHz</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音频压缩标准：G.711ulaw/G.711alaw/G.722.1/G.726/MP2L2/PCM/AAC</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音频压缩码率：64Kbps（G.711 ulaw/G.711 alaw）/16Kbps（G.722.1）/16Kbps（G.726）/32~160Kbps（MP2L2）/16~64Kbps（AAC）</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同时预览路数：多6路</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用户管理：多32个用户可配置管理员、操作员、普通用户</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客户端：iVMS-4200，萤石云</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浏览器：使用插件预览：IE10，IE11；使用本地服务预览：Chrome 57.0+，Firefox52.0+</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接口协议（API）：开放型网络视频接口，ISAPI，SDK，GB28181（2016）</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网络协议：TCP/IP，ICMP，HTTP，FTP，DHCP，DNS，RTP，RTSP，RTCP，NTP，SMTP，IGMP，QoS，UDP，Bonjour，SSL/TLS，HTTPS，DDNS，UPnP，802.1x，IPv6</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图像</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日夜转换模式：白天，夜晚，自动，定时切换</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图像增强：背光补偿，强光抑制，3D数字降噪</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图像设置：饱和度，亮度，对比度，锐度，AGC，白平衡通过客户端或者浏览器可调</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接口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音频：1个内置麦克风</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网络：1个RJ45 10M/100M自适应以太网口</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摄像机</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传感器类型：1/1.8"Progressive Scan CMOS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照度：彩色：0.0005 Lux @（F1.0，AGC ON），0 Lux with Light</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快门：1/3 s~1/100,000 s</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宽动态：120 dB</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镜头</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镜头尺寸接口：M16</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光圈类型：固定光圈</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光圈数：F1.0</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景深范围：2.8 mm：1.7 m~∞ 4 mm：3.6 m~∞ 6 mm：4 m~∞ 8 mm：6 m~∞</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焦距&amp;视场角：2.8 mm，水平视场角：105.7°，垂直视场角：57.2°，对角视场角：124.5° 4 mm，水平视场角：88.7°，垂直视场角：44.7°，对角视场角：107.5° 6 mm，水平视场角：55.2°，垂直视场角：29.3°，对角视场角：64.6° 8 mm，水平视场角：38.8°，垂直视场角：21.1°，对角视场角：45.2°</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补光</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补光距离：远可达30 m</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防补光过曝：支持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补光灯类型：白光灯</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认证</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电气安全防护：IP66</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一般规范</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联动方式：上传FTP，上传中心，邮件，抓图</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通用功能：心跳，密码保护，水印，IP地址过滤，像素计算器</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恢复出厂设置：支持客户端或浏览器恢复</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启动和工作温湿度：-30 ℃~60 ℃，湿度小于95%（无凝结）</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供电方式：DC：12 V ± 25%，支持防反接保护 PoE：802.3af，Class 3 *DWD型号不支持PoE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电流及功耗：DC：12 V，0.42 A，功耗：5 W PoE：（802.3af，36 V~57 V），0.18 A~0.12 A，功耗：6.5 W *DWD型号不支持PoE</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电源接口类型：Ø5.5 mm圆口</w:t>
            </w:r>
          </w:p>
        </w:tc>
      </w:tr>
    </w:tbl>
    <w:p>
      <w:pPr>
        <w:pStyle w:val="10"/>
        <w:keepNext w:val="0"/>
        <w:keepLines w:val="0"/>
        <w:pageBreakBefore w:val="0"/>
        <w:widowControl w:val="0"/>
        <w:kinsoku/>
        <w:wordWrap/>
        <w:overflowPunct/>
        <w:topLinePunct w:val="0"/>
        <w:autoSpaceDE/>
        <w:autoSpaceDN/>
        <w:bidi w:val="0"/>
        <w:adjustRightInd/>
        <w:snapToGrid/>
        <w:spacing w:after="0"/>
        <w:ind w:left="0" w:leftChars="0" w:firstLine="420" w:firstLineChars="200"/>
        <w:textAlignment w:val="auto"/>
        <w:rPr>
          <w:rFonts w:hint="eastAsia"/>
          <w:lang w:val="en-US" w:eastAsia="zh-CN"/>
        </w:rPr>
      </w:pP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w:t>
      </w:r>
      <w:r>
        <w:rPr>
          <w:rFonts w:hint="eastAsia" w:ascii="方正黑体_GBK" w:hAnsi="方正黑体_GBK" w:eastAsia="方正黑体_GBK" w:cs="方正黑体_GBK"/>
          <w:b/>
          <w:color w:val="auto"/>
          <w:sz w:val="32"/>
          <w:szCs w:val="32"/>
          <w:highlight w:val="none"/>
          <w:lang w:val="en-US" w:eastAsia="zh-CN"/>
        </w:rPr>
        <w:t>项目质量要求</w:t>
      </w:r>
    </w:p>
    <w:p>
      <w:pPr>
        <w:pStyle w:val="21"/>
        <w:spacing w:line="360" w:lineRule="auto"/>
        <w:ind w:firstLine="56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（一）供应商提供的相应产品质量应符合国家标准，提供相关资质文件。</w:t>
      </w:r>
    </w:p>
    <w:p>
      <w:pPr>
        <w:pStyle w:val="21"/>
        <w:spacing w:line="360" w:lineRule="auto"/>
        <w:ind w:firstLine="56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二）供应商需出具相应的产品生产厂商的授权资质，所有设备均为原厂配置，不开箱不拆机开封加减配件，保证原厂正货发货至用户指定地点，货物应如期一次性供应，安装前不允许开箱，必须经过当场拆封查验合格后，方可安装。</w:t>
      </w:r>
    </w:p>
    <w:p>
      <w:pPr>
        <w:pStyle w:val="21"/>
        <w:spacing w:line="360" w:lineRule="auto"/>
        <w:ind w:firstLine="560"/>
        <w:rPr>
          <w:rFonts w:hint="default"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为了保证产品的供货质量，中选供应商在中标后交货的同时需出具原厂供货证明。</w:t>
      </w:r>
    </w:p>
    <w:p>
      <w:pPr>
        <w:spacing w:line="360" w:lineRule="auto"/>
        <w:rPr>
          <w:rFonts w:hint="default" w:ascii="仿宋" w:hAnsi="仿宋" w:eastAsia="黑体" w:cs="仿宋"/>
          <w:color w:val="auto"/>
          <w:sz w:val="32"/>
          <w:szCs w:val="32"/>
          <w:highlight w:val="none"/>
          <w:lang w:val="en-US" w:eastAsia="zh-CN"/>
        </w:rPr>
      </w:pPr>
      <w:r>
        <w:rPr>
          <w:rFonts w:hint="eastAsia" w:ascii="黑体" w:hAnsi="黑体" w:eastAsia="黑体" w:cs="黑体"/>
          <w:b/>
          <w:color w:val="auto"/>
          <w:sz w:val="28"/>
          <w:szCs w:val="28"/>
          <w:highlight w:val="none"/>
          <w:lang w:eastAsia="zh-CN"/>
        </w:rPr>
        <w:t>六</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售后服务</w:t>
      </w:r>
    </w:p>
    <w:p>
      <w:pPr>
        <w:pStyle w:val="21"/>
        <w:spacing w:line="360" w:lineRule="auto"/>
        <w:ind w:firstLine="56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（一）供应商提供的相关产品质量应符合国家标准。</w:t>
      </w:r>
    </w:p>
    <w:p>
      <w:pPr>
        <w:pStyle w:val="21"/>
        <w:spacing w:line="360" w:lineRule="auto"/>
        <w:ind w:firstLine="56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（二）供应商提供的产品如有质量问题，产品安装并验收通过后开始计算一年（12个月）内免费上门更换。</w:t>
      </w:r>
    </w:p>
    <w:p>
      <w:pPr>
        <w:pStyle w:val="21"/>
        <w:spacing w:line="360" w:lineRule="auto"/>
        <w:ind w:firstLine="560"/>
        <w:rPr>
          <w:rFonts w:hint="default"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三）发生故障后，自报障时起算，1小时内响应，先通过电话沟通形式排除故障，若电话沟通方式无法解决的，2天内到达现场排查确认故障原因。如果确认是设备不能正常运行，从到达现场开始起算1天内提供备用设备，确保正常使用。</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七、项目预算</w:t>
      </w:r>
    </w:p>
    <w:p>
      <w:pPr>
        <w:pStyle w:val="21"/>
        <w:spacing w:line="360" w:lineRule="auto"/>
        <w:ind w:firstLine="56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本</w:t>
      </w:r>
      <w:r>
        <w:rPr>
          <w:rFonts w:hint="eastAsia" w:ascii="仿宋_GB2312" w:eastAsia="仿宋_GB2312" w:cs="Times New Roman" w:hAnsiTheme="minorEastAsia"/>
          <w:kern w:val="0"/>
          <w:sz w:val="28"/>
          <w:szCs w:val="28"/>
          <w:lang w:val="zh-CN" w:eastAsia="zh-CN" w:bidi="ar-SA"/>
        </w:rPr>
        <w:t>项目</w:t>
      </w:r>
      <w:r>
        <w:rPr>
          <w:rFonts w:hint="eastAsia" w:ascii="仿宋_GB2312" w:eastAsia="仿宋_GB2312" w:cs="Times New Roman" w:hAnsiTheme="minorEastAsia"/>
          <w:kern w:val="0"/>
          <w:sz w:val="28"/>
          <w:szCs w:val="28"/>
          <w:lang w:val="en-US" w:eastAsia="zh-CN" w:bidi="ar-SA"/>
        </w:rPr>
        <w:t>（含税）最高限价为人民币3.6万元（含税），中选供应商需根据实际成交价提供相应税率的发票。</w:t>
      </w:r>
    </w:p>
    <w:p>
      <w:pPr>
        <w:pStyle w:val="13"/>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cs="Times New Roman" w:hAnsiTheme="minorEastAsia"/>
          <w:kern w:val="0"/>
          <w:sz w:val="28"/>
          <w:szCs w:val="28"/>
          <w:lang w:val="en-US" w:eastAsia="zh-CN" w:bidi="ar-SA"/>
        </w:rPr>
        <w:t>中选供应商应于合同签订生效后7个日历天完成送货、安装、调试及交付使用后，并开具符合国家财务规定的发票，一次性支付项目总额的100%。</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八、供应商资格条件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3"/>
        <w:spacing w:line="276" w:lineRule="auto"/>
        <w:ind w:left="0" w:leftChars="0" w:firstLine="0" w:firstLineChars="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、文件盖章及制作格式</w:t>
      </w:r>
    </w:p>
    <w:p>
      <w:pPr>
        <w:pStyle w:val="16"/>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6"/>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十</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十一、确定供应商</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10"/>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default"/>
          <w:lang w:val="en-US"/>
        </w:rPr>
      </w:pPr>
      <w:r>
        <w:rPr>
          <w:rFonts w:hint="eastAsia" w:ascii="仿宋" w:hAnsi="仿宋" w:eastAsia="仿宋" w:cs="仿宋"/>
          <w:color w:val="auto"/>
          <w:spacing w:val="0"/>
          <w:kern w:val="0"/>
          <w:sz w:val="28"/>
          <w:szCs w:val="28"/>
          <w:highlight w:val="none"/>
          <w:lang w:val="en-US" w:eastAsia="zh-CN" w:bidi="ar-SA"/>
        </w:rPr>
        <w:t>2022年6月27日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10"/>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10"/>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1"/>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数字江门网络建设有限公司产学研专利科研工具及配套技术支持服务</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JYCG2022011</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11"/>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11"/>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10"/>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color w:val="auto"/>
          <w:highlight w:val="none"/>
        </w:rPr>
      </w:pPr>
      <w:r>
        <w:rPr>
          <w:color w:val="auto"/>
          <w:highlight w:val="none"/>
        </w:rPr>
        <w:t>供应商：</w:t>
      </w:r>
      <w:r>
        <w:rPr>
          <w:color w:val="auto"/>
          <w:highlight w:val="none"/>
          <w:u w:val="single"/>
        </w:rPr>
        <w:t xml:space="preserve">                               </w:t>
      </w:r>
      <w:r>
        <w:rPr>
          <w:color w:val="auto"/>
          <w:highlight w:val="none"/>
        </w:rPr>
        <w:t>（盖单位章）</w:t>
      </w:r>
    </w:p>
    <w:p>
      <w:pPr>
        <w:spacing w:line="440" w:lineRule="exact"/>
        <w:jc w:val="right"/>
        <w:rPr>
          <w:color w:val="auto"/>
          <w:highlight w:val="none"/>
        </w:rPr>
      </w:pPr>
      <w:r>
        <w:rPr>
          <w:color w:val="auto"/>
          <w:highlight w:val="none"/>
        </w:rPr>
        <w:t>法定代表人</w:t>
      </w:r>
      <w:r>
        <w:rPr>
          <w:rFonts w:hint="eastAsia"/>
          <w:color w:val="auto"/>
          <w:highlight w:val="none"/>
        </w:rPr>
        <w:t>/负责人</w:t>
      </w:r>
      <w:r>
        <w:rPr>
          <w:color w:val="auto"/>
          <w:highlight w:val="none"/>
        </w:rPr>
        <w:t>：</w:t>
      </w:r>
      <w:r>
        <w:rPr>
          <w:color w:val="auto"/>
          <w:highlight w:val="none"/>
          <w:u w:val="single"/>
        </w:rPr>
        <w:t xml:space="preserve">                               </w:t>
      </w:r>
      <w:r>
        <w:rPr>
          <w:color w:val="auto"/>
          <w:highlight w:val="none"/>
        </w:rPr>
        <w:t>（签字）</w:t>
      </w:r>
      <w:r>
        <w:rPr>
          <w:color w:val="auto"/>
          <w:highlight w:val="none"/>
          <w:u w:val="single"/>
        </w:rPr>
        <w:t xml:space="preserve">                                     </w:t>
      </w:r>
    </w:p>
    <w:p>
      <w:pPr>
        <w:spacing w:line="440" w:lineRule="exact"/>
        <w:jc w:val="right"/>
        <w:rPr>
          <w:color w:val="auto"/>
          <w:highlight w:val="none"/>
        </w:rPr>
      </w:pPr>
      <w:r>
        <w:rPr>
          <w:color w:val="auto"/>
          <w:highlight w:val="none"/>
        </w:rPr>
        <w:t>委托代理人</w:t>
      </w:r>
      <w:r>
        <w:rPr>
          <w:rFonts w:hint="eastAsia"/>
          <w:color w:val="auto"/>
          <w:highlight w:val="none"/>
          <w:lang w:eastAsia="zh-CN"/>
        </w:rPr>
        <w:t>（</w:t>
      </w:r>
      <w:r>
        <w:rPr>
          <w:rFonts w:hint="eastAsia"/>
          <w:color w:val="auto"/>
          <w:highlight w:val="none"/>
          <w:lang w:val="en-US" w:eastAsia="zh-CN"/>
        </w:rPr>
        <w:t>若有</w:t>
      </w:r>
      <w:r>
        <w:rPr>
          <w:rFonts w:hint="eastAsia"/>
          <w:color w:val="auto"/>
          <w:highlight w:val="none"/>
          <w:lang w:eastAsia="zh-CN"/>
        </w:rPr>
        <w:t>）</w:t>
      </w:r>
      <w:r>
        <w:rPr>
          <w:color w:val="auto"/>
          <w:highlight w:val="none"/>
        </w:rPr>
        <w:t>：</w:t>
      </w:r>
      <w:r>
        <w:rPr>
          <w:color w:val="auto"/>
          <w:highlight w:val="none"/>
          <w:u w:val="single"/>
        </w:rPr>
        <w:t xml:space="preserve">                                   </w:t>
      </w:r>
      <w:r>
        <w:rPr>
          <w:color w:val="auto"/>
          <w:highlight w:val="none"/>
        </w:rPr>
        <w:t xml:space="preserve">（签字） </w:t>
      </w:r>
    </w:p>
    <w:p>
      <w:pPr>
        <w:spacing w:line="440" w:lineRule="exact"/>
        <w:ind w:firstLine="2310" w:firstLineChars="1100"/>
        <w:jc w:val="right"/>
        <w:rPr>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center"/>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Theme="minorEastAsia" w:hAnsiTheme="minorEastAsia" w:eastAsiaTheme="minorEastAsia" w:cstheme="minorEastAsia"/>
          <w:color w:val="auto"/>
          <w:highlight w:val="none"/>
        </w:rPr>
        <w:t>了</w:t>
      </w:r>
      <w:r>
        <w:rPr>
          <w:rFonts w:hint="eastAsia" w:asciiTheme="minorEastAsia" w:hAnsiTheme="minorEastAsia" w:eastAsiaTheme="minorEastAsia" w:cstheme="minorEastAsia"/>
          <w:color w:val="auto"/>
          <w:highlight w:val="none"/>
          <w:lang w:val="en-US" w:eastAsia="zh-CN"/>
        </w:rPr>
        <w:t>数字江门网络建设有限公司产学研专利科研工具及配套技术支持服务采购</w:t>
      </w:r>
      <w:r>
        <w:rPr>
          <w:rFonts w:hint="eastAsia" w:asciiTheme="minorEastAsia" w:hAnsiTheme="minorEastAsia" w:eastAsiaTheme="minorEastAsia" w:cstheme="minorEastAsia"/>
          <w:color w:val="auto"/>
          <w:highlight w:val="none"/>
        </w:rPr>
        <w:t>文件的全部内容，现提交响应文件。</w:t>
      </w:r>
      <w:r>
        <w:rPr>
          <w:rFonts w:hint="eastAsia" w:asciiTheme="minorEastAsia" w:hAnsiTheme="minorEastAsia" w:eastAsiaTheme="minorEastAsia" w:cstheme="minorEastAsia"/>
          <w:bCs/>
          <w:color w:val="auto"/>
          <w:highlight w:val="none"/>
        </w:rPr>
        <w:t>包括以下内容</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ab/>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（2）我方完全理解贵方无义务必须接受最低报价的响应文件并有权拒绝所有的响应文件；</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（4）我方承诺我方响应文件中递交的文件均为真实、有效的，如有虚假信息，承担相应法律责任；</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10"/>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10"/>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（盖单位章）</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法定代表人/负责人或其委托代理人：</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（签字）</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八</w:t>
      </w:r>
      <w:r>
        <w:rPr>
          <w:rFonts w:hint="eastAsia" w:ascii="仿宋" w:hAnsi="仿宋" w:eastAsia="仿宋" w:cs="仿宋"/>
          <w:b/>
          <w:bCs/>
          <w:i/>
          <w:iCs/>
          <w:color w:val="auto"/>
          <w:sz w:val="28"/>
          <w:szCs w:val="28"/>
          <w:highlight w:val="none"/>
          <w:u w:val="double"/>
        </w:rPr>
        <w:t>条供应商资格条件</w:t>
      </w:r>
    </w:p>
    <w:p>
      <w:pPr>
        <w:pStyle w:val="10"/>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10"/>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10"/>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十</w:t>
      </w:r>
      <w:r>
        <w:rPr>
          <w:rFonts w:hint="eastAsia" w:ascii="仿宋" w:hAnsi="仿宋" w:eastAsia="仿宋" w:cs="仿宋"/>
          <w:b/>
          <w:bCs/>
          <w:i/>
          <w:iCs/>
          <w:color w:val="auto"/>
          <w:sz w:val="28"/>
          <w:szCs w:val="28"/>
          <w:highlight w:val="none"/>
          <w:u w:val="double"/>
        </w:rPr>
        <w:t>条采购需求技术方案</w:t>
      </w:r>
    </w:p>
    <w:p>
      <w:pPr>
        <w:pStyle w:val="10"/>
        <w:ind w:left="420"/>
        <w:rPr>
          <w:rFonts w:ascii="仿宋" w:hAnsi="仿宋" w:eastAsia="仿宋" w:cs="仿宋"/>
          <w:b/>
          <w:bCs/>
          <w:i/>
          <w:iCs/>
          <w:color w:val="auto"/>
          <w:sz w:val="28"/>
          <w:szCs w:val="28"/>
          <w:highlight w:val="none"/>
          <w:u w:val="double"/>
        </w:rPr>
      </w:pPr>
    </w:p>
    <w:p>
      <w:pPr>
        <w:rPr>
          <w:color w:val="auto"/>
          <w:highlight w:val="none"/>
        </w:rPr>
      </w:pPr>
    </w:p>
    <w:p>
      <w:pPr>
        <w:pStyle w:val="10"/>
        <w:ind w:left="420"/>
        <w:rPr>
          <w:color w:val="auto"/>
          <w:highlight w:val="none"/>
        </w:rPr>
      </w:pPr>
    </w:p>
    <w:p>
      <w:pPr>
        <w:rPr>
          <w:color w:val="auto"/>
          <w:highlight w:val="none"/>
        </w:rPr>
      </w:pPr>
    </w:p>
    <w:p>
      <w:pPr>
        <w:pStyle w:val="10"/>
        <w:ind w:left="420"/>
        <w:rPr>
          <w:color w:val="auto"/>
          <w:highlight w:val="none"/>
        </w:rPr>
      </w:pPr>
    </w:p>
    <w:p>
      <w:pPr>
        <w:rPr>
          <w:color w:val="auto"/>
          <w:highlight w:val="none"/>
        </w:rPr>
      </w:pPr>
    </w:p>
    <w:p>
      <w:pPr>
        <w:pStyle w:val="10"/>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8"/>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数字江门网络建设有限公司产学研专利科研工具及配套技术支持服务</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JYCG2022011</w:t>
      </w:r>
    </w:p>
    <w:p>
      <w:pPr>
        <w:pStyle w:val="5"/>
        <w:spacing w:after="156" w:afterLines="50" w:line="400" w:lineRule="exact"/>
        <w:ind w:firstLine="240" w:firstLineChars="100"/>
        <w:rPr>
          <w:rFonts w:hint="eastAsia" w:ascii="宋体" w:hAnsi="宋体" w:eastAsia="宋体" w:cs="宋体"/>
          <w:color w:val="auto"/>
          <w:kern w:val="0"/>
          <w:sz w:val="24"/>
          <w:szCs w:val="24"/>
          <w:highlight w:val="none"/>
          <w:lang w:val="en-US" w:eastAsia="zh-CN"/>
        </w:rPr>
      </w:pPr>
    </w:p>
    <w:tbl>
      <w:tblPr>
        <w:tblStyle w:val="11"/>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供应商名称</w:t>
            </w: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含税总价（元</w:t>
            </w:r>
            <w:r>
              <w:rPr>
                <w:rFonts w:hint="eastAsia" w:asciiTheme="minorEastAsia" w:hAnsiTheme="minorEastAsia" w:cstheme="minorEastAsia"/>
                <w:color w:val="auto"/>
                <w:kern w:val="0"/>
                <w:sz w:val="24"/>
                <w:szCs w:val="24"/>
                <w:highlight w:val="none"/>
                <w:lang w:val="en-US" w:eastAsia="zh-CN"/>
              </w:rPr>
              <w:t>人民币</w:t>
            </w:r>
            <w:r>
              <w:rPr>
                <w:rFonts w:hint="eastAsia" w:asciiTheme="minorEastAsia" w:hAnsiTheme="minorEastAsia" w:eastAsiaTheme="minorEastAsia" w:cstheme="minorEastAsia"/>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注明</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1.本项目设有最高限价为含税总报价不能超出最高限价，供应商报价超出最高限价作否决</w:t>
      </w: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lang w:eastAsia="zh-CN"/>
        </w:rPr>
        <w:t>处理。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2.报价应包括所购买的相应的服务、税费及所涉及的一切费用。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供应商应向采购人提供增值税专用发票。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.供应商应对采购文件要求报价的所有内容进行报价，未报价部分视为供应商让利或含在其他报价子目中，合同价款不予调整。</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5.本项目所填</w:t>
      </w:r>
      <w:r>
        <w:rPr>
          <w:rFonts w:hint="eastAsia" w:ascii="宋体" w:hAnsi="宋体" w:eastAsia="宋体" w:cs="宋体"/>
          <w:color w:val="auto"/>
          <w:sz w:val="24"/>
          <w:szCs w:val="24"/>
          <w:highlight w:val="none"/>
          <w:lang w:val="en-US" w:eastAsia="zh-CN"/>
        </w:rPr>
        <w:t>报报价</w:t>
      </w:r>
      <w:r>
        <w:rPr>
          <w:rFonts w:hint="eastAsia" w:ascii="宋体" w:hAnsi="宋体" w:eastAsia="宋体" w:cs="宋体"/>
          <w:color w:val="auto"/>
          <w:sz w:val="24"/>
          <w:szCs w:val="24"/>
          <w:highlight w:val="none"/>
          <w:lang w:eastAsia="zh-CN"/>
        </w:rPr>
        <w:t>精确到小数点后两位，小数点后两位无论大小均舍去，以供应商所报含税总价来计算价格分。如果文字大写表示的数据与小写数字表示的有差别，则以文字大写表示的数据为准。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供应商（盖章）：</w:t>
      </w: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法定代表人或授权代表人（签字）：      </w:t>
      </w:r>
    </w:p>
    <w:p>
      <w:pPr>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 ：    年     月     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8"/>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数字江门网络建设有限公司产学研专利科研工具及配套技术支持服务</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合</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同</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书</w:t>
      </w:r>
    </w:p>
    <w:p>
      <w:pPr>
        <w:widowControl/>
        <w:spacing w:line="360" w:lineRule="auto"/>
        <w:jc w:val="left"/>
        <w:rPr>
          <w:color w:val="auto"/>
          <w:highlight w:val="none"/>
        </w:rPr>
      </w:pPr>
      <w:r>
        <w:rPr>
          <w:color w:val="auto"/>
          <w:highlight w:val="none"/>
        </w:rPr>
        <w:br w:type="page"/>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购货单位：（以下简称甲方）</w:t>
      </w:r>
      <w:r>
        <w:rPr>
          <w:rFonts w:hint="eastAsia" w:ascii="宋体" w:hAnsi="宋体" w:eastAsia="宋体" w:cs="宋体"/>
          <w:kern w:val="0"/>
          <w:sz w:val="21"/>
          <w:szCs w:val="21"/>
          <w:u w:val="single"/>
        </w:rPr>
        <w:t>数字江门网络建设有限公司</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default" w:ascii="宋体" w:hAnsi="宋体" w:eastAsia="宋体" w:cs="宋体"/>
          <w:kern w:val="0"/>
          <w:sz w:val="21"/>
          <w:szCs w:val="21"/>
          <w:lang w:val="en-US"/>
        </w:rPr>
      </w:pPr>
      <w:r>
        <w:rPr>
          <w:rFonts w:hint="eastAsia" w:ascii="宋体" w:hAnsi="宋体" w:eastAsia="宋体" w:cs="宋体"/>
          <w:kern w:val="0"/>
          <w:sz w:val="21"/>
          <w:szCs w:val="21"/>
        </w:rPr>
        <w:t>供货单位：（以下简称乙方）</w:t>
      </w:r>
      <w:r>
        <w:rPr>
          <w:rFonts w:hint="eastAsia" w:ascii="宋体" w:hAnsi="宋体" w:eastAsia="宋体" w:cs="宋体"/>
          <w:kern w:val="0"/>
          <w:sz w:val="21"/>
          <w:szCs w:val="21"/>
          <w:u w:val="single"/>
          <w:lang w:val="en-US" w:eastAsia="zh-CN"/>
        </w:rPr>
        <w:t xml:space="preserve">                        </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乙双方根据《中华人民共和国民法典》、《中华人民共和国政府采购法》等有关法律法规的规定，按照</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年</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日</w:t>
      </w:r>
      <w:r>
        <w:rPr>
          <w:rFonts w:hint="eastAsia" w:ascii="宋体" w:hAnsi="宋体" w:eastAsia="宋体" w:cs="宋体"/>
          <w:kern w:val="0"/>
          <w:sz w:val="21"/>
          <w:szCs w:val="21"/>
          <w:lang w:val="en-US" w:eastAsia="zh-CN"/>
        </w:rPr>
        <w:t>的</w:t>
      </w:r>
      <w:r>
        <w:rPr>
          <w:rFonts w:hint="eastAsia" w:ascii="宋体" w:hAnsi="宋体" w:eastAsia="宋体" w:cs="宋体"/>
          <w:b w:val="0"/>
          <w:kern w:val="0"/>
          <w:sz w:val="21"/>
          <w:szCs w:val="21"/>
          <w:lang w:val="en-US" w:eastAsia="zh-CN" w:bidi="ar-SA"/>
        </w:rPr>
        <w:t>数字江门网络建设有限公司产学研专利科研工具及配套技术支持服务</w:t>
      </w:r>
      <w:r>
        <w:rPr>
          <w:rFonts w:hint="eastAsia" w:ascii="宋体" w:hAnsi="宋体" w:eastAsia="宋体" w:cs="宋体"/>
          <w:kern w:val="0"/>
          <w:sz w:val="21"/>
          <w:szCs w:val="21"/>
        </w:rPr>
        <w:t>的</w:t>
      </w:r>
      <w:r>
        <w:rPr>
          <w:rFonts w:hint="eastAsia" w:ascii="宋体" w:hAnsi="宋体" w:eastAsia="宋体" w:cs="宋体"/>
          <w:kern w:val="0"/>
          <w:sz w:val="21"/>
          <w:szCs w:val="21"/>
          <w:lang w:val="en-US" w:eastAsia="zh-CN"/>
        </w:rPr>
        <w:t>采购</w:t>
      </w:r>
      <w:r>
        <w:rPr>
          <w:rFonts w:hint="eastAsia" w:ascii="宋体" w:hAnsi="宋体" w:eastAsia="宋体" w:cs="宋体"/>
          <w:kern w:val="0"/>
          <w:sz w:val="21"/>
          <w:szCs w:val="21"/>
        </w:rPr>
        <w:t>结果、乙方的</w:t>
      </w:r>
      <w:r>
        <w:rPr>
          <w:rFonts w:hint="eastAsia" w:ascii="宋体" w:hAnsi="宋体" w:eastAsia="宋体" w:cs="宋体"/>
          <w:kern w:val="0"/>
          <w:sz w:val="21"/>
          <w:szCs w:val="21"/>
          <w:lang w:val="en-US" w:eastAsia="zh-CN"/>
        </w:rPr>
        <w:t>响应</w:t>
      </w:r>
      <w:r>
        <w:rPr>
          <w:rFonts w:hint="eastAsia" w:ascii="宋体" w:hAnsi="宋体" w:eastAsia="宋体" w:cs="宋体"/>
          <w:kern w:val="0"/>
          <w:sz w:val="21"/>
          <w:szCs w:val="21"/>
        </w:rPr>
        <w:t>文件、澄清、说明或者补正文件和中标通知书的要求，经双方协商一致，订立合同如下：</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第一条  项目的名称、项目总价和项目产品的清单（名称、数量、规格、单价、型号、品牌和技术指标等）</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（一）项目名称：</w:t>
      </w:r>
      <w:r>
        <w:rPr>
          <w:rFonts w:hint="eastAsia" w:ascii="宋体" w:hAnsi="宋体" w:eastAsia="宋体" w:cs="宋体"/>
          <w:kern w:val="0"/>
          <w:sz w:val="21"/>
          <w:szCs w:val="21"/>
          <w:u w:val="single"/>
        </w:rPr>
        <w:t>数字江门网络建设有限公司产学研专利科研工具及配套技术支持服务</w:t>
      </w:r>
      <w:r>
        <w:rPr>
          <w:rFonts w:hint="eastAsia" w:ascii="宋体" w:hAnsi="宋体" w:eastAsia="宋体" w:cs="宋体"/>
          <w:kern w:val="0"/>
          <w:sz w:val="21"/>
          <w:szCs w:val="21"/>
          <w:u w:val="single"/>
          <w:lang w:eastAsia="zh-CN"/>
        </w:rPr>
        <w:t>。</w:t>
      </w:r>
    </w:p>
    <w:p>
      <w:pPr>
        <w:keepNext w:val="0"/>
        <w:keepLines w:val="0"/>
        <w:pageBreakBefore w:val="0"/>
        <w:kinsoku/>
        <w:wordWrap/>
        <w:overflowPunct/>
        <w:topLinePunct w:val="0"/>
        <w:bidi w:val="0"/>
        <w:snapToGrid/>
        <w:spacing w:line="360" w:lineRule="auto"/>
        <w:ind w:left="0" w:leftChars="0" w:firstLine="420" w:firstLineChars="200"/>
        <w:rPr>
          <w:rFonts w:hint="eastAsia" w:ascii="宋体" w:hAnsi="宋体" w:eastAsia="宋体" w:cs="宋体"/>
          <w:sz w:val="21"/>
          <w:szCs w:val="21"/>
        </w:rPr>
      </w:pPr>
      <w:r>
        <w:rPr>
          <w:rFonts w:hint="eastAsia" w:ascii="宋体" w:hAnsi="宋体" w:eastAsia="宋体" w:cs="宋体"/>
          <w:kern w:val="0"/>
          <w:sz w:val="21"/>
          <w:szCs w:val="21"/>
        </w:rPr>
        <w:t>（二）项目总价是完成项目的含税全包价，所有价格变动的风险均由乙方承担，甲方不需再向乙方支付任何费用。</w:t>
      </w:r>
    </w:p>
    <w:p>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jc w:val="left"/>
        <w:rPr>
          <w:rFonts w:hint="eastAsia" w:ascii="宋体" w:hAnsi="宋体" w:eastAsia="宋体" w:cs="宋体"/>
          <w:color w:val="auto"/>
          <w:kern w:val="0"/>
          <w:sz w:val="21"/>
          <w:szCs w:val="21"/>
          <w:lang w:val="en-US" w:eastAsia="zh-CN"/>
        </w:rPr>
      </w:pPr>
      <w:r>
        <w:rPr>
          <w:rFonts w:hint="eastAsia" w:ascii="宋体" w:hAnsi="宋体" w:eastAsia="宋体" w:cs="宋体"/>
          <w:kern w:val="0"/>
          <w:sz w:val="21"/>
          <w:szCs w:val="21"/>
        </w:rPr>
        <w:t>项目总价</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（小写）</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none"/>
          <w:lang w:val="en-US" w:eastAsia="zh-CN"/>
        </w:rPr>
        <w:t>元</w:t>
      </w:r>
      <w:r>
        <w:rPr>
          <w:rFonts w:hint="eastAsia" w:ascii="宋体" w:hAnsi="宋体" w:eastAsia="宋体" w:cs="宋体"/>
          <w:kern w:val="0"/>
          <w:sz w:val="21"/>
          <w:szCs w:val="21"/>
        </w:rPr>
        <w:t>，（大写）</w:t>
      </w:r>
      <w:r>
        <w:rPr>
          <w:rFonts w:hint="eastAsia" w:ascii="宋体" w:hAnsi="宋体" w:eastAsia="宋体" w:cs="宋体"/>
          <w:kern w:val="0"/>
          <w:sz w:val="21"/>
          <w:szCs w:val="21"/>
          <w:u w:val="none"/>
        </w:rPr>
        <w:t>人民币</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color w:val="auto"/>
          <w:kern w:val="0"/>
          <w:sz w:val="21"/>
          <w:szCs w:val="21"/>
          <w:lang w:val="en-US" w:eastAsia="zh-CN"/>
        </w:rPr>
        <w:t>。</w:t>
      </w:r>
      <w:r>
        <w:rPr>
          <w:rFonts w:hint="eastAsia" w:ascii="宋体" w:hAnsi="宋体" w:eastAsia="宋体" w:cs="宋体"/>
          <w:kern w:val="0"/>
          <w:sz w:val="21"/>
          <w:szCs w:val="21"/>
          <w:lang w:val="en-US" w:eastAsia="zh-CN"/>
        </w:rPr>
        <w:t>其中</w:t>
      </w:r>
      <w:r>
        <w:rPr>
          <w:rFonts w:hint="eastAsia" w:ascii="宋体" w:hAnsi="宋体" w:eastAsia="宋体" w:cs="宋体"/>
          <w:color w:val="auto"/>
          <w:kern w:val="0"/>
          <w:sz w:val="21"/>
          <w:szCs w:val="21"/>
          <w:lang w:eastAsia="zh-CN"/>
        </w:rPr>
        <w:t>不含税金额</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none"/>
          <w:lang w:val="en-US" w:eastAsia="zh-CN"/>
        </w:rPr>
        <w:t>元</w:t>
      </w:r>
      <w:r>
        <w:rPr>
          <w:rFonts w:hint="eastAsia" w:ascii="宋体" w:hAnsi="宋体" w:eastAsia="宋体" w:cs="宋体"/>
          <w:color w:val="auto"/>
          <w:kern w:val="0"/>
          <w:sz w:val="21"/>
          <w:szCs w:val="21"/>
          <w:lang w:eastAsia="zh-CN"/>
        </w:rPr>
        <w:t>，（大写）</w:t>
      </w:r>
      <w:r>
        <w:rPr>
          <w:rFonts w:hint="eastAsia" w:ascii="宋体" w:hAnsi="宋体" w:eastAsia="宋体" w:cs="宋体"/>
          <w:color w:val="auto"/>
          <w:kern w:val="0"/>
          <w:sz w:val="21"/>
          <w:szCs w:val="21"/>
          <w:u w:val="none"/>
          <w:lang w:eastAsia="zh-CN"/>
        </w:rPr>
        <w:t>人民币</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color w:val="auto"/>
          <w:kern w:val="0"/>
          <w:sz w:val="21"/>
          <w:szCs w:val="21"/>
          <w:lang w:eastAsia="zh-CN"/>
        </w:rPr>
        <w:t>，增值税税额</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none"/>
          <w:lang w:val="en-US" w:eastAsia="zh-CN"/>
        </w:rPr>
        <w:t>元</w:t>
      </w:r>
      <w:r>
        <w:rPr>
          <w:rFonts w:hint="eastAsia" w:ascii="宋体" w:hAnsi="宋体" w:eastAsia="宋体" w:cs="宋体"/>
          <w:color w:val="auto"/>
          <w:kern w:val="0"/>
          <w:sz w:val="21"/>
          <w:szCs w:val="21"/>
          <w:lang w:eastAsia="zh-CN"/>
        </w:rPr>
        <w:t>，提供税率为</w:t>
      </w:r>
      <w:r>
        <w:rPr>
          <w:rFonts w:hint="eastAsia" w:ascii="宋体" w:hAnsi="宋体" w:eastAsia="宋体" w:cs="宋体"/>
          <w:color w:val="auto"/>
          <w:kern w:val="0"/>
          <w:sz w:val="21"/>
          <w:szCs w:val="21"/>
          <w:u w:val="single"/>
          <w:lang w:val="en-US" w:eastAsia="zh-CN"/>
        </w:rPr>
        <w:t>3</w:t>
      </w:r>
      <w:r>
        <w:rPr>
          <w:rFonts w:hint="eastAsia" w:ascii="宋体" w:hAnsi="宋体" w:eastAsia="宋体" w:cs="宋体"/>
          <w:color w:val="auto"/>
          <w:kern w:val="0"/>
          <w:sz w:val="21"/>
          <w:szCs w:val="21"/>
          <w:u w:val="single"/>
          <w:lang w:eastAsia="zh-CN"/>
        </w:rPr>
        <w:t>%</w:t>
      </w:r>
      <w:r>
        <w:rPr>
          <w:rFonts w:hint="eastAsia" w:ascii="宋体" w:hAnsi="宋体" w:eastAsia="宋体" w:cs="宋体"/>
          <w:color w:val="auto"/>
          <w:kern w:val="0"/>
          <w:sz w:val="21"/>
          <w:szCs w:val="21"/>
          <w:lang w:eastAsia="zh-CN"/>
        </w:rPr>
        <w:t>的增值税</w:t>
      </w:r>
      <w:r>
        <w:rPr>
          <w:rFonts w:hint="eastAsia" w:ascii="宋体" w:hAnsi="宋体" w:eastAsia="宋体" w:cs="宋体"/>
          <w:color w:val="auto"/>
          <w:kern w:val="0"/>
          <w:sz w:val="21"/>
          <w:szCs w:val="21"/>
          <w:lang w:val="en-US" w:eastAsia="zh-CN"/>
        </w:rPr>
        <w:t>专用发票。</w:t>
      </w:r>
    </w:p>
    <w:p>
      <w:pPr>
        <w:keepNext w:val="0"/>
        <w:keepLines w:val="0"/>
        <w:pageBreakBefore w:val="0"/>
        <w:numPr>
          <w:ilvl w:val="0"/>
          <w:numId w:val="2"/>
        </w:numPr>
        <w:kinsoku/>
        <w:wordWrap/>
        <w:overflowPunct/>
        <w:topLinePunct w:val="0"/>
        <w:bidi w:val="0"/>
        <w:snapToGrid/>
        <w:spacing w:line="360" w:lineRule="auto"/>
        <w:ind w:left="0" w:leftChars="0" w:firstLine="420" w:firstLineChars="200"/>
        <w:rPr>
          <w:rFonts w:hint="eastAsia" w:ascii="宋体" w:hAnsi="宋体" w:eastAsia="宋体" w:cs="宋体"/>
          <w:kern w:val="0"/>
          <w:sz w:val="21"/>
          <w:szCs w:val="21"/>
          <w:lang w:eastAsia="zh-CN"/>
        </w:rPr>
      </w:pPr>
      <w:r>
        <w:rPr>
          <w:rFonts w:hint="eastAsia" w:ascii="宋体" w:hAnsi="宋体" w:eastAsia="宋体" w:cs="宋体"/>
          <w:kern w:val="0"/>
          <w:sz w:val="21"/>
          <w:szCs w:val="21"/>
        </w:rPr>
        <w:t>服务内容</w:t>
      </w:r>
      <w:r>
        <w:rPr>
          <w:rFonts w:hint="eastAsia" w:ascii="宋体" w:hAnsi="宋体" w:eastAsia="宋体" w:cs="宋体"/>
          <w:kern w:val="0"/>
          <w:sz w:val="21"/>
          <w:szCs w:val="21"/>
          <w:lang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1、提供产学研专利科研工具：</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82"/>
        <w:gridCol w:w="22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工具名称</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Style w:val="20"/>
                <w:rFonts w:hint="eastAsia" w:ascii="宋体" w:hAnsi="宋体" w:eastAsia="宋体" w:cs="宋体"/>
                <w:sz w:val="21"/>
                <w:szCs w:val="21"/>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应急救援主基站</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应急救援副机</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全向发射天线</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应急电源</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硬盘录像机</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86"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摄像头</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left="0" w:leftChars="0" w:right="0"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bl>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2、提供配套技术支持服务：提供安装及调试，展厅现场部署及演示工作和相关配套技术支持服务（1年）。</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 xml:space="preserve">第二条  </w:t>
      </w:r>
      <w:r>
        <w:rPr>
          <w:rFonts w:hint="eastAsia" w:ascii="宋体" w:hAnsi="宋体" w:eastAsia="宋体" w:cs="宋体"/>
          <w:b/>
          <w:bCs/>
          <w:kern w:val="0"/>
          <w:sz w:val="21"/>
          <w:szCs w:val="21"/>
          <w:lang w:val="en-US" w:eastAsia="zh-CN"/>
        </w:rPr>
        <w:t>质量要求</w:t>
      </w:r>
      <w:r>
        <w:rPr>
          <w:rFonts w:hint="eastAsia" w:ascii="宋体" w:hAnsi="宋体" w:eastAsia="宋体" w:cs="宋体"/>
          <w:b/>
          <w:bCs/>
          <w:kern w:val="0"/>
          <w:sz w:val="21"/>
          <w:szCs w:val="21"/>
          <w:lang w:eastAsia="zh-CN"/>
        </w:rPr>
        <w:t>。</w:t>
      </w:r>
    </w:p>
    <w:p>
      <w:pPr>
        <w:pStyle w:val="21"/>
        <w:keepNext w:val="0"/>
        <w:keepLines w:val="0"/>
        <w:pageBreakBefore w:val="0"/>
        <w:kinsoku/>
        <w:wordWrap/>
        <w:overflowPunct/>
        <w:topLinePunct w:val="0"/>
        <w:bidi w:val="0"/>
        <w:snapToGrid/>
        <w:spacing w:line="360" w:lineRule="auto"/>
        <w:ind w:left="0" w:leftChars="0" w:firstLine="420" w:firstLineChars="20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（一）乙方提供的相应产品质量应符合国家标准，提供相关资质文件。</w:t>
      </w:r>
    </w:p>
    <w:p>
      <w:pPr>
        <w:pStyle w:val="21"/>
        <w:keepNext w:val="0"/>
        <w:keepLines w:val="0"/>
        <w:pageBreakBefore w:val="0"/>
        <w:kinsoku/>
        <w:wordWrap/>
        <w:overflowPunct/>
        <w:topLinePunct w:val="0"/>
        <w:bidi w:val="0"/>
        <w:snapToGrid/>
        <w:spacing w:line="360" w:lineRule="auto"/>
        <w:ind w:left="0" w:leftChars="0" w:firstLine="420" w:firstLineChars="20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二）乙方需出具相应的产品生产厂商的授权资质，所有设备均为原厂配置，不开箱不拆机开封加减配件，保证原厂正货发货至用户指定地点，货物应如期一次性供应，安装前不允许开箱，必须经过当场拆封查验合格后，方可安装。</w:t>
      </w:r>
    </w:p>
    <w:p>
      <w:pPr>
        <w:pStyle w:val="21"/>
        <w:keepNext w:val="0"/>
        <w:keepLines w:val="0"/>
        <w:pageBreakBefore w:val="0"/>
        <w:kinsoku/>
        <w:wordWrap/>
        <w:overflowPunct/>
        <w:topLinePunct w:val="0"/>
        <w:bidi w:val="0"/>
        <w:snapToGrid/>
        <w:spacing w:line="360" w:lineRule="auto"/>
        <w:ind w:left="0" w:leftChars="0" w:firstLine="420" w:firstLineChars="200"/>
        <w:rPr>
          <w:rFonts w:hint="eastAsia" w:ascii="宋体" w:hAnsi="宋体" w:eastAsia="宋体" w:cs="宋体"/>
          <w:smallCaps w:val="0"/>
          <w:sz w:val="21"/>
          <w:szCs w:val="21"/>
          <w:lang w:val="en-US" w:eastAsia="zh-CN"/>
        </w:rPr>
      </w:pPr>
      <w:r>
        <w:rPr>
          <w:rFonts w:hint="eastAsia" w:ascii="宋体" w:hAnsi="宋体" w:eastAsia="宋体" w:cs="宋体"/>
          <w:kern w:val="0"/>
          <w:sz w:val="21"/>
          <w:szCs w:val="21"/>
          <w:lang w:val="en-US" w:eastAsia="zh-CN" w:bidi="ar-SA"/>
        </w:rPr>
        <w:t>为了保证产品的供货质量，乙方在中标后交货的同时需出具原厂供货证明。</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三</w:t>
      </w:r>
      <w:r>
        <w:rPr>
          <w:rFonts w:hint="eastAsia" w:ascii="宋体" w:hAnsi="宋体" w:eastAsia="宋体" w:cs="宋体"/>
          <w:b/>
          <w:bCs/>
          <w:kern w:val="0"/>
          <w:sz w:val="21"/>
          <w:szCs w:val="21"/>
        </w:rPr>
        <w:t>条  售后服务</w:t>
      </w:r>
      <w:r>
        <w:rPr>
          <w:rFonts w:hint="eastAsia" w:ascii="宋体" w:hAnsi="宋体" w:eastAsia="宋体" w:cs="宋体"/>
          <w:b/>
          <w:bCs/>
          <w:kern w:val="0"/>
          <w:sz w:val="21"/>
          <w:szCs w:val="21"/>
          <w:lang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（一）乙方提供的相关产品质量应符合国家标准。</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（二）乙方提供的产品如有质量问题，产品安装并验收通过后开始计算一年（12个月）内免费上门更换。</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三）发生故障后，自报障时起算，1小时内响应，先通过电话沟通形式排除故障，若电话沟通方式无法解决的，2天内到达现场排查确认故障原因。如果确认是设备不能正常运行，从到达现场开始起算1天内提供备用设备，确保正常使用。</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四</w:t>
      </w:r>
      <w:r>
        <w:rPr>
          <w:rFonts w:hint="eastAsia" w:ascii="宋体" w:hAnsi="宋体" w:eastAsia="宋体" w:cs="宋体"/>
          <w:b/>
          <w:bCs/>
          <w:kern w:val="0"/>
          <w:sz w:val="21"/>
          <w:szCs w:val="21"/>
        </w:rPr>
        <w:t>条  安装</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（一）完工期：</w:t>
      </w:r>
      <w:r>
        <w:rPr>
          <w:rFonts w:hint="eastAsia" w:ascii="宋体" w:hAnsi="宋体" w:eastAsia="宋体" w:cs="宋体"/>
          <w:kern w:val="0"/>
          <w:sz w:val="21"/>
          <w:szCs w:val="21"/>
          <w:lang w:val="en-US" w:eastAsia="zh-CN" w:bidi="ar-SA"/>
        </w:rPr>
        <w:t>乙方应于合同签订生效后7个日历天完成送货、安装、调试</w:t>
      </w:r>
      <w:r>
        <w:rPr>
          <w:rFonts w:hint="eastAsia" w:ascii="宋体" w:hAnsi="宋体" w:eastAsia="宋体" w:cs="宋体"/>
          <w:kern w:val="0"/>
          <w:sz w:val="21"/>
          <w:szCs w:val="21"/>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（二）交货方式：乙方负责将产品送至</w:t>
      </w:r>
      <w:r>
        <w:rPr>
          <w:rFonts w:hint="eastAsia" w:ascii="宋体" w:hAnsi="宋体" w:eastAsia="宋体" w:cs="宋体"/>
          <w:kern w:val="0"/>
          <w:sz w:val="21"/>
          <w:szCs w:val="21"/>
          <w:lang w:eastAsia="zh-CN"/>
        </w:rPr>
        <w:t>指定安装地点并由</w:t>
      </w:r>
      <w:r>
        <w:rPr>
          <w:rFonts w:hint="eastAsia" w:ascii="宋体" w:hAnsi="宋体" w:eastAsia="宋体" w:cs="宋体"/>
          <w:kern w:val="0"/>
          <w:sz w:val="21"/>
          <w:szCs w:val="21"/>
          <w:lang w:val="en-US" w:eastAsia="zh-CN"/>
        </w:rPr>
        <w:t>数字江门网络建设有限公司人员签收</w:t>
      </w:r>
      <w:r>
        <w:rPr>
          <w:rFonts w:hint="eastAsia" w:ascii="宋体" w:hAnsi="宋体" w:eastAsia="宋体" w:cs="宋体"/>
          <w:kern w:val="0"/>
          <w:sz w:val="21"/>
          <w:szCs w:val="21"/>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（三）设备的安装：乙方负责完成本项目所有硬件设备的安装及调试，</w:t>
      </w:r>
      <w:r>
        <w:rPr>
          <w:rFonts w:hint="eastAsia" w:ascii="宋体" w:hAnsi="宋体" w:eastAsia="宋体" w:cs="宋体"/>
          <w:sz w:val="21"/>
          <w:szCs w:val="21"/>
        </w:rPr>
        <w:t>达到上线使用要求</w:t>
      </w:r>
      <w:r>
        <w:rPr>
          <w:rFonts w:hint="eastAsia" w:ascii="宋体" w:hAnsi="宋体" w:eastAsia="宋体" w:cs="宋体"/>
          <w:kern w:val="0"/>
          <w:sz w:val="21"/>
          <w:szCs w:val="21"/>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五</w:t>
      </w:r>
      <w:r>
        <w:rPr>
          <w:rFonts w:hint="eastAsia" w:ascii="宋体" w:hAnsi="宋体" w:eastAsia="宋体" w:cs="宋体"/>
          <w:b/>
          <w:bCs/>
          <w:kern w:val="0"/>
          <w:sz w:val="21"/>
          <w:szCs w:val="21"/>
        </w:rPr>
        <w:t>条  货款的结算</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具体结算方式：</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一</w:t>
      </w:r>
      <w:r>
        <w:rPr>
          <w:rFonts w:hint="eastAsia" w:ascii="宋体" w:hAnsi="宋体" w:eastAsia="宋体" w:cs="宋体"/>
          <w:kern w:val="0"/>
          <w:sz w:val="21"/>
          <w:szCs w:val="21"/>
        </w:rPr>
        <w:t>）合同签订生效之日后，</w:t>
      </w:r>
      <w:r>
        <w:rPr>
          <w:rFonts w:hint="eastAsia" w:ascii="宋体" w:hAnsi="宋体" w:eastAsia="宋体" w:cs="宋体"/>
          <w:kern w:val="0"/>
          <w:sz w:val="21"/>
          <w:szCs w:val="21"/>
          <w:lang w:val="en-US" w:eastAsia="zh-CN"/>
        </w:rPr>
        <w:t>乙方</w:t>
      </w:r>
      <w:r>
        <w:rPr>
          <w:rFonts w:hint="eastAsia" w:ascii="宋体" w:hAnsi="宋体" w:eastAsia="宋体" w:cs="宋体"/>
          <w:kern w:val="0"/>
          <w:sz w:val="21"/>
          <w:szCs w:val="21"/>
        </w:rPr>
        <w:t>完成送货、安装、调试及交付使用后</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且甲方</w:t>
      </w:r>
      <w:r>
        <w:rPr>
          <w:rFonts w:hint="eastAsia" w:ascii="宋体" w:hAnsi="宋体" w:eastAsia="宋体" w:cs="宋体"/>
          <w:kern w:val="0"/>
          <w:sz w:val="21"/>
          <w:szCs w:val="21"/>
        </w:rPr>
        <w:t>收到项目乙方开具符合国家财务规定的增值税</w:t>
      </w:r>
      <w:r>
        <w:rPr>
          <w:rFonts w:hint="eastAsia" w:ascii="宋体" w:hAnsi="宋体" w:eastAsia="宋体" w:cs="宋体"/>
          <w:kern w:val="0"/>
          <w:sz w:val="21"/>
          <w:szCs w:val="21"/>
          <w:lang w:val="en-US" w:eastAsia="zh-CN"/>
        </w:rPr>
        <w:t>专用</w:t>
      </w:r>
      <w:r>
        <w:rPr>
          <w:rFonts w:hint="eastAsia" w:ascii="宋体" w:hAnsi="宋体" w:eastAsia="宋体" w:cs="宋体"/>
          <w:kern w:val="0"/>
          <w:sz w:val="21"/>
          <w:szCs w:val="21"/>
        </w:rPr>
        <w:t>发票后的15个工作日内，甲方将</w:t>
      </w:r>
      <w:r>
        <w:rPr>
          <w:rFonts w:hint="eastAsia" w:ascii="宋体" w:hAnsi="宋体" w:eastAsia="宋体" w:cs="宋体"/>
          <w:kern w:val="0"/>
          <w:sz w:val="21"/>
          <w:szCs w:val="21"/>
          <w:lang w:val="en-US" w:eastAsia="zh-CN"/>
        </w:rPr>
        <w:t>项目总价一次性</w:t>
      </w:r>
      <w:r>
        <w:rPr>
          <w:rFonts w:hint="eastAsia" w:ascii="宋体" w:hAnsi="宋体" w:eastAsia="宋体" w:cs="宋体"/>
          <w:kern w:val="0"/>
          <w:sz w:val="21"/>
          <w:szCs w:val="21"/>
        </w:rPr>
        <w:t>支付给乙方</w:t>
      </w:r>
      <w:r>
        <w:rPr>
          <w:rFonts w:hint="eastAsia" w:ascii="宋体" w:hAnsi="宋体" w:eastAsia="宋体" w:cs="宋体"/>
          <w:kern w:val="0"/>
          <w:sz w:val="21"/>
          <w:szCs w:val="21"/>
          <w:lang w:eastAsia="zh-CN"/>
        </w:rPr>
        <w:t>。</w:t>
      </w:r>
    </w:p>
    <w:p>
      <w:pPr>
        <w:pStyle w:val="10"/>
        <w:keepNext w:val="0"/>
        <w:keepLines w:val="0"/>
        <w:pageBreakBefore w:val="0"/>
        <w:kinsoku/>
        <w:wordWrap/>
        <w:overflowPunct/>
        <w:topLinePunct w:val="0"/>
        <w:bidi w:val="0"/>
        <w:snapToGrid/>
        <w:spacing w:after="0" w:line="360" w:lineRule="auto"/>
        <w:ind w:left="0" w:leftChars="0" w:firstLine="420" w:firstLineChars="200"/>
        <w:rPr>
          <w:rFonts w:hint="eastAsia" w:ascii="宋体" w:hAnsi="宋体" w:eastAsia="宋体" w:cs="宋体"/>
          <w:smallCaps w:val="0"/>
          <w:sz w:val="21"/>
          <w:szCs w:val="21"/>
        </w:rPr>
      </w:pPr>
      <w:r>
        <w:rPr>
          <w:rFonts w:hint="eastAsia" w:ascii="宋体" w:hAnsi="宋体" w:eastAsia="宋体" w:cs="宋体"/>
          <w:smallCaps w:val="0"/>
          <w:kern w:val="0"/>
          <w:sz w:val="21"/>
          <w:szCs w:val="21"/>
          <w:lang w:eastAsia="zh-CN"/>
        </w:rPr>
        <w:t>（</w:t>
      </w:r>
      <w:r>
        <w:rPr>
          <w:rFonts w:hint="eastAsia" w:ascii="宋体" w:hAnsi="宋体" w:eastAsia="宋体" w:cs="宋体"/>
          <w:smallCaps w:val="0"/>
          <w:kern w:val="0"/>
          <w:sz w:val="21"/>
          <w:szCs w:val="21"/>
          <w:lang w:val="en-US" w:eastAsia="zh-CN"/>
        </w:rPr>
        <w:t>二</w:t>
      </w:r>
      <w:r>
        <w:rPr>
          <w:rFonts w:hint="eastAsia" w:ascii="宋体" w:hAnsi="宋体" w:eastAsia="宋体" w:cs="宋体"/>
          <w:smallCaps w:val="0"/>
          <w:kern w:val="0"/>
          <w:sz w:val="21"/>
          <w:szCs w:val="21"/>
          <w:lang w:eastAsia="zh-CN"/>
        </w:rPr>
        <w:t>）</w:t>
      </w:r>
      <w:r>
        <w:rPr>
          <w:rFonts w:hint="eastAsia" w:ascii="宋体" w:hAnsi="宋体" w:eastAsia="宋体" w:cs="宋体"/>
          <w:smallCaps w:val="0"/>
          <w:kern w:val="0"/>
          <w:sz w:val="21"/>
          <w:szCs w:val="21"/>
        </w:rPr>
        <w:t>乙方指定签字盖章栏中的银行账号为收款账号。</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六</w:t>
      </w:r>
      <w:r>
        <w:rPr>
          <w:rFonts w:hint="eastAsia" w:ascii="宋体" w:hAnsi="宋体" w:eastAsia="宋体" w:cs="宋体"/>
          <w:b/>
          <w:bCs/>
          <w:kern w:val="0"/>
          <w:sz w:val="21"/>
          <w:szCs w:val="21"/>
        </w:rPr>
        <w:t>条  验收方式</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（一）验收时间：甲方收到货物后如发现产品质量与本合同规定条件不符，须在产品到货后15个工作日内提出书面异议或处理意见，如无异议视为产品验收合格</w:t>
      </w:r>
      <w:r>
        <w:rPr>
          <w:rFonts w:hint="eastAsia" w:ascii="宋体" w:hAnsi="宋体" w:eastAsia="宋体" w:cs="宋体"/>
          <w:kern w:val="0"/>
          <w:sz w:val="21"/>
          <w:szCs w:val="21"/>
          <w:lang w:val="en-US"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（二）验收方法：甲方派遣有经验有能力的人员检验产品和工程的质量和指标。</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（三）验收标准：符合</w:t>
      </w:r>
      <w:r>
        <w:rPr>
          <w:rFonts w:hint="eastAsia" w:ascii="宋体" w:hAnsi="宋体" w:eastAsia="宋体" w:cs="宋体"/>
          <w:kern w:val="0"/>
          <w:sz w:val="21"/>
          <w:szCs w:val="21"/>
          <w:lang w:val="en-US"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val="en-US" w:eastAsia="zh-CN"/>
        </w:rPr>
        <w:t>响应</w:t>
      </w:r>
      <w:r>
        <w:rPr>
          <w:rFonts w:hint="eastAsia" w:ascii="宋体" w:hAnsi="宋体" w:eastAsia="宋体" w:cs="宋体"/>
          <w:kern w:val="0"/>
          <w:sz w:val="21"/>
          <w:szCs w:val="21"/>
        </w:rPr>
        <w:t>文件、澄清、说明或者补正文件和中标通知书的要求；单证齐全，有产品合格证（或质量保证书）、发票和其它应当具有单证文件。</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七</w:t>
      </w:r>
      <w:r>
        <w:rPr>
          <w:rFonts w:hint="eastAsia" w:ascii="宋体" w:hAnsi="宋体" w:eastAsia="宋体" w:cs="宋体"/>
          <w:b/>
          <w:bCs/>
          <w:kern w:val="0"/>
          <w:sz w:val="21"/>
          <w:szCs w:val="21"/>
        </w:rPr>
        <w:t>条  对产品异议的时间和办法</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（一）甲方在收</w:t>
      </w:r>
      <w:r>
        <w:rPr>
          <w:rFonts w:hint="eastAsia" w:ascii="宋体" w:hAnsi="宋体" w:eastAsia="宋体" w:cs="宋体"/>
          <w:kern w:val="0"/>
          <w:sz w:val="21"/>
          <w:szCs w:val="21"/>
          <w:lang w:eastAsia="zh-CN"/>
        </w:rPr>
        <w:t>到货物后</w:t>
      </w:r>
      <w:r>
        <w:rPr>
          <w:rFonts w:hint="eastAsia" w:ascii="宋体" w:hAnsi="宋体" w:eastAsia="宋体" w:cs="宋体"/>
          <w:kern w:val="0"/>
          <w:sz w:val="21"/>
          <w:szCs w:val="21"/>
        </w:rPr>
        <w:t>，如果发现产品的品种、型号、数量、规格、质量或有关软件及有关工程不合规定的，</w:t>
      </w:r>
      <w:r>
        <w:rPr>
          <w:rFonts w:hint="eastAsia" w:ascii="宋体" w:hAnsi="宋体" w:eastAsia="宋体" w:cs="宋体"/>
          <w:kern w:val="0"/>
          <w:sz w:val="21"/>
          <w:szCs w:val="21"/>
          <w:lang w:val="en-US" w:eastAsia="zh-CN"/>
        </w:rPr>
        <w:t>应</w:t>
      </w:r>
      <w:r>
        <w:rPr>
          <w:rFonts w:hint="eastAsia" w:ascii="宋体" w:hAnsi="宋体" w:eastAsia="宋体" w:cs="宋体"/>
          <w:kern w:val="0"/>
          <w:sz w:val="21"/>
          <w:szCs w:val="21"/>
        </w:rPr>
        <w:t>在三十天内向乙方提出书面异议</w:t>
      </w:r>
      <w:r>
        <w:rPr>
          <w:rFonts w:hint="eastAsia" w:ascii="宋体" w:hAnsi="宋体" w:eastAsia="宋体" w:cs="宋体"/>
          <w:kern w:val="0"/>
          <w:sz w:val="21"/>
          <w:szCs w:val="21"/>
          <w:lang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（二）乙方在接到甲方书面异议后，应在十天内处理，否则，视为乙方承认该产品存在甲方所指出的瑕疵并同意甲方提出的处理意见。</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八</w:t>
      </w:r>
      <w:r>
        <w:rPr>
          <w:rFonts w:hint="eastAsia" w:ascii="宋体" w:hAnsi="宋体" w:eastAsia="宋体" w:cs="宋体"/>
          <w:b/>
          <w:bCs/>
          <w:kern w:val="0"/>
          <w:sz w:val="21"/>
          <w:szCs w:val="21"/>
        </w:rPr>
        <w:t>条 甲方权利</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（一）甲方有自行或委托第三方机构，对乙方提供的本项目的服务进行监管的权利。</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（二）甲方有自行或委托第三方机构，对乙方的建设、运维、管理、安全、质量、服务状况进行定期评估考核的权利。</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（三）乙方因自身原因导致合同无法继续履行，则视为乙方违约，甲方有权单方解除合同。</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（四）法律、法规授予甲方的其他权利。</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2" w:firstLineChars="200"/>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九</w:t>
      </w:r>
      <w:r>
        <w:rPr>
          <w:rFonts w:hint="eastAsia" w:ascii="宋体" w:hAnsi="宋体" w:eastAsia="宋体" w:cs="宋体"/>
          <w:b/>
          <w:bCs/>
          <w:kern w:val="0"/>
          <w:sz w:val="21"/>
          <w:szCs w:val="21"/>
        </w:rPr>
        <w:t>条 甲方义务</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一）依据乙方的申请，在不影响正常工作的前提下协助乙方及时获得本项目需要的合理、合法的条件，包括但不限于协调乙方与市直单位的工作关系，保障项目顺利实施和运营维护以及提供本项目所需水、电、服务场地、信息和数据等相关事宜。</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（二）甲方负责对项目的成果进行验收，按合同支付金额。</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2" w:firstLineChars="200"/>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w:t>
      </w:r>
      <w:r>
        <w:rPr>
          <w:rFonts w:hint="eastAsia" w:ascii="宋体" w:hAnsi="宋体" w:eastAsia="宋体" w:cs="宋体"/>
          <w:b/>
          <w:bCs/>
          <w:kern w:val="0"/>
          <w:sz w:val="21"/>
          <w:szCs w:val="21"/>
        </w:rPr>
        <w:t>条 乙方权利</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（一）乙方有权要求甲方按本合同的约定支付合同金额。</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二）如果因不可归责于乙方的原因导致乙方不能履约的，则乙方有权和甲方就有关事宜进行沟通，如经甲、乙双方确认确属不可归责于乙方的原因，且乙方已为避免此种情形采取必要的措施，则甲方出具相应的书面文件，确认不得以此作为对乙方考核不达标的依据，并不得追究乙方的违约责任。</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（三）法律、法规规定以及本合同规定的其他权利。</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2" w:firstLineChars="200"/>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十一</w:t>
      </w:r>
      <w:r>
        <w:rPr>
          <w:rFonts w:hint="eastAsia" w:ascii="宋体" w:hAnsi="宋体" w:eastAsia="宋体" w:cs="宋体"/>
          <w:b/>
          <w:bCs/>
          <w:kern w:val="0"/>
          <w:sz w:val="21"/>
          <w:szCs w:val="21"/>
        </w:rPr>
        <w:t>条 乙方义务</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（一）按照本合同约定的进度、质量、安全标准完成本项目。</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（二）接受甲方及市直各部门或其指定的第三方机构对本项目的监管、评估考核等。</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（三）服务期内，如遇国家法律、法规及相关政策发生重大变化，对本合同的履行造成实质性的影响，乙方应积极与甲方协商解决，并采取合理措施避免各方的损失扩大。</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（四）加强对实施人员管理，遵守甲方或市直各部门工作管理要求，接受工作指导和统一安排。</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smallCaps w:val="0"/>
          <w:kern w:val="0"/>
          <w:sz w:val="21"/>
          <w:szCs w:val="21"/>
          <w:lang w:val="en-US" w:eastAsia="zh-CN" w:bidi="ar-SA"/>
        </w:rPr>
      </w:pPr>
      <w:r>
        <w:rPr>
          <w:rFonts w:hint="eastAsia" w:ascii="宋体" w:hAnsi="宋体" w:eastAsia="宋体" w:cs="宋体"/>
          <w:smallCaps w:val="0"/>
          <w:kern w:val="0"/>
          <w:sz w:val="21"/>
          <w:szCs w:val="21"/>
          <w:lang w:val="en-US" w:eastAsia="zh-CN" w:bidi="ar-SA"/>
        </w:rPr>
        <w:t>（五）乙方保证其履约行为不侵犯任何第三方合法权益，否则产生的所有责任均由乙方承担，甲方不负任何责任。造成甲方损失的，乙方还应承担赔偿责任。</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十二</w:t>
      </w:r>
      <w:r>
        <w:rPr>
          <w:rFonts w:hint="eastAsia" w:ascii="宋体" w:hAnsi="宋体" w:eastAsia="宋体" w:cs="宋体"/>
          <w:b/>
          <w:bCs/>
          <w:kern w:val="0"/>
          <w:sz w:val="21"/>
          <w:szCs w:val="21"/>
        </w:rPr>
        <w:t>条  乙方的违约责任</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（一）乙方不能交货的，甲方不向乙方付款。乙方应向甲方偿付合同总价的百分之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w:t>
      </w:r>
      <w:r>
        <w:rPr>
          <w:rFonts w:hint="eastAsia" w:ascii="宋体" w:hAnsi="宋体" w:eastAsia="宋体" w:cs="宋体"/>
          <w:kern w:val="0"/>
          <w:sz w:val="21"/>
          <w:szCs w:val="21"/>
          <w:lang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（二）乙方所交设备种类、数量、规格、质量和技术性能等不符合合同约定的，由乙方负责包换或包修，并承担修理、调换或退货而支付的实际费用</w:t>
      </w:r>
      <w:r>
        <w:rPr>
          <w:rFonts w:hint="eastAsia" w:ascii="宋体" w:hAnsi="宋体" w:eastAsia="宋体" w:cs="宋体"/>
          <w:kern w:val="0"/>
          <w:sz w:val="21"/>
          <w:szCs w:val="21"/>
          <w:lang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（三）乙方逾期交货的，每日应向甲方偿付合同总额的千分之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kern w:val="0"/>
          <w:sz w:val="21"/>
          <w:szCs w:val="21"/>
        </w:rPr>
        <w:t>。逾期【</w:t>
      </w:r>
      <w:r>
        <w:rPr>
          <w:rFonts w:hint="eastAsia" w:ascii="宋体" w:hAnsi="宋体" w:eastAsia="宋体" w:cs="宋体"/>
          <w:kern w:val="0"/>
          <w:sz w:val="21"/>
          <w:szCs w:val="21"/>
          <w:lang w:val="en-US" w:eastAsia="zh-CN"/>
        </w:rPr>
        <w:t>30</w:t>
      </w:r>
      <w:r>
        <w:rPr>
          <w:rFonts w:hint="eastAsia" w:ascii="宋体" w:hAnsi="宋体" w:eastAsia="宋体" w:cs="宋体"/>
          <w:kern w:val="0"/>
          <w:sz w:val="21"/>
          <w:szCs w:val="21"/>
        </w:rPr>
        <w:t>】日的，视为乙方不能交货</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甲方有权解除合同。</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十三</w:t>
      </w:r>
      <w:r>
        <w:rPr>
          <w:rFonts w:hint="eastAsia" w:ascii="宋体" w:hAnsi="宋体" w:eastAsia="宋体" w:cs="宋体"/>
          <w:b/>
          <w:bCs/>
          <w:kern w:val="0"/>
          <w:sz w:val="21"/>
          <w:szCs w:val="21"/>
        </w:rPr>
        <w:t>条  甲方的违约责任</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（一）甲方逾期付款的，每日应向乙方偿付拖欠金额的千分之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sz w:val="21"/>
          <w:szCs w:val="21"/>
          <w:u w:val="none"/>
          <w:lang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（二）甲方违反合同约定拒绝接受产品的，应当承担由此而对乙方造成的损失。</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（三）本合同无论因何原因解除、终止，乙方均应向甲方返还已收取但未履行及履行不符合约定部分的款项。</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十四</w:t>
      </w:r>
      <w:r>
        <w:rPr>
          <w:rFonts w:hint="eastAsia" w:ascii="宋体" w:hAnsi="宋体" w:eastAsia="宋体" w:cs="宋体"/>
          <w:b/>
          <w:bCs/>
          <w:kern w:val="0"/>
          <w:sz w:val="21"/>
          <w:szCs w:val="21"/>
        </w:rPr>
        <w:t>条  不可抗力</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十五</w:t>
      </w:r>
      <w:r>
        <w:rPr>
          <w:rFonts w:hint="eastAsia" w:ascii="宋体" w:hAnsi="宋体" w:eastAsia="宋体" w:cs="宋体"/>
          <w:b/>
          <w:bCs/>
          <w:kern w:val="0"/>
          <w:sz w:val="21"/>
          <w:szCs w:val="21"/>
        </w:rPr>
        <w:t>条  争议的解决</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（一）如因产品的质量问题发生争议，由法定的质量技术鉴定机构进行质量鉴定，双方应当服从该鉴定的结论</w:t>
      </w:r>
      <w:r>
        <w:rPr>
          <w:rFonts w:hint="eastAsia" w:ascii="宋体" w:hAnsi="宋体" w:eastAsia="宋体" w:cs="宋体"/>
          <w:kern w:val="0"/>
          <w:sz w:val="21"/>
          <w:szCs w:val="21"/>
          <w:lang w:eastAsia="zh-CN"/>
        </w:rPr>
        <w:t>。</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（二）若执行本合同的过程中发生纠纷，双方当事人应当及时协商解决；协商不成时，可向甲方所在地有管辖权人民法院提起诉讼。</w:t>
      </w:r>
      <w:r>
        <w:rPr>
          <w:rFonts w:hint="eastAsia" w:ascii="宋体" w:hAnsi="宋体" w:eastAsia="宋体" w:cs="宋体"/>
          <w:kern w:val="0"/>
          <w:sz w:val="21"/>
          <w:szCs w:val="21"/>
          <w:lang w:eastAsia="zh-Hans"/>
        </w:rPr>
        <w:t>期间所产生的一切费用（包括但不限于诉讼费、保全费、律师费等）均由败诉方承担。</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w:t>
      </w:r>
      <w:r>
        <w:rPr>
          <w:rFonts w:hint="eastAsia" w:ascii="宋体" w:hAnsi="宋体" w:eastAsia="宋体" w:cs="宋体"/>
          <w:b/>
          <w:bCs/>
          <w:kern w:val="0"/>
          <w:sz w:val="21"/>
          <w:szCs w:val="21"/>
          <w:lang w:val="en-US" w:eastAsia="zh-CN"/>
        </w:rPr>
        <w:t>六</w:t>
      </w:r>
      <w:r>
        <w:rPr>
          <w:rFonts w:hint="eastAsia" w:ascii="宋体" w:hAnsi="宋体" w:eastAsia="宋体" w:cs="宋体"/>
          <w:b/>
          <w:bCs/>
          <w:kern w:val="0"/>
          <w:sz w:val="21"/>
          <w:szCs w:val="21"/>
        </w:rPr>
        <w:t>条  监督和管理</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（一）甲乙双方经协商一致需变更合同实质性条款或订立补充合同的，应先取得政府采购监督管理部门的同意，并将相关资料报送备案。</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（二）甲乙双方均应自觉配合政府采购监督管理部门对合同履行情况的监督检查，如实反映情况，提供有关资料；否则，将对有关单位、当事人按照有关规定予以处罚。</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w:t>
      </w:r>
      <w:r>
        <w:rPr>
          <w:rFonts w:hint="eastAsia" w:ascii="宋体" w:hAnsi="宋体" w:eastAsia="宋体" w:cs="宋体"/>
          <w:b/>
          <w:bCs/>
          <w:kern w:val="0"/>
          <w:sz w:val="21"/>
          <w:szCs w:val="21"/>
          <w:lang w:val="en-US" w:eastAsia="zh-CN"/>
        </w:rPr>
        <w:t>七</w:t>
      </w:r>
      <w:r>
        <w:rPr>
          <w:rFonts w:hint="eastAsia" w:ascii="宋体" w:hAnsi="宋体" w:eastAsia="宋体" w:cs="宋体"/>
          <w:b/>
          <w:bCs/>
          <w:kern w:val="0"/>
          <w:sz w:val="21"/>
          <w:szCs w:val="21"/>
        </w:rPr>
        <w:t>条  无效合同</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甲乙双方如因违反法律和有关规定，合同被宣告无效的，有过错的一方应当承担赔偿责任，双方都有过错的，各自承担相应的责任。</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w:t>
      </w:r>
      <w:r>
        <w:rPr>
          <w:rFonts w:hint="eastAsia" w:ascii="宋体" w:hAnsi="宋体" w:eastAsia="宋体" w:cs="宋体"/>
          <w:b/>
          <w:bCs/>
          <w:kern w:val="0"/>
          <w:sz w:val="21"/>
          <w:szCs w:val="21"/>
          <w:lang w:val="en-US" w:eastAsia="zh-CN"/>
        </w:rPr>
        <w:t>八</w:t>
      </w:r>
      <w:r>
        <w:rPr>
          <w:rFonts w:hint="eastAsia" w:ascii="宋体" w:hAnsi="宋体" w:eastAsia="宋体" w:cs="宋体"/>
          <w:b/>
          <w:bCs/>
          <w:kern w:val="0"/>
          <w:sz w:val="21"/>
          <w:szCs w:val="21"/>
        </w:rPr>
        <w:t>条  投诉</w:t>
      </w:r>
    </w:p>
    <w:p>
      <w:pPr>
        <w:keepNext w:val="0"/>
        <w:keepLines w:val="0"/>
        <w:pageBreakBefore w:val="0"/>
        <w:kinsoku/>
        <w:wordWrap/>
        <w:overflowPunct/>
        <w:topLinePunct w:val="0"/>
        <w:autoSpaceDE w:val="0"/>
        <w:autoSpaceDN w:val="0"/>
        <w:bidi w:val="0"/>
        <w:adjustRightInd w:val="0"/>
        <w:snapToGrid/>
        <w:spacing w:line="360" w:lineRule="auto"/>
        <w:ind w:left="0" w:leftChars="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甲方如对乙方所提供的产品质量及服务提出投诉，经核查如属有效投诉并超过三次，政府采购监督管理部门有权取消乙方的中标资格，并按有关规定接受处理。</w:t>
      </w:r>
    </w:p>
    <w:p>
      <w:pPr>
        <w:keepNext w:val="0"/>
        <w:keepLines w:val="0"/>
        <w:pageBreakBefore w:val="0"/>
        <w:kinsoku/>
        <w:wordWrap/>
        <w:overflowPunct/>
        <w:topLinePunct w:val="0"/>
        <w:autoSpaceDE w:val="0"/>
        <w:autoSpaceDN w:val="0"/>
        <w:bidi w:val="0"/>
        <w:adjustRightInd w:val="0"/>
        <w:snapToGrid/>
        <w:spacing w:line="360" w:lineRule="auto"/>
        <w:ind w:left="0" w:leftChars="0"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eastAsia="zh-CN"/>
        </w:rPr>
        <w:t>十九</w:t>
      </w:r>
      <w:r>
        <w:rPr>
          <w:rFonts w:hint="eastAsia" w:ascii="宋体" w:hAnsi="宋体" w:eastAsia="宋体" w:cs="宋体"/>
          <w:b/>
          <w:bCs/>
          <w:kern w:val="0"/>
          <w:sz w:val="21"/>
          <w:szCs w:val="21"/>
        </w:rPr>
        <w:t>条  附则</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（一）本合同一式</w:t>
      </w:r>
      <w:r>
        <w:rPr>
          <w:rFonts w:hint="eastAsia" w:ascii="宋体" w:hAnsi="宋体" w:eastAsia="宋体" w:cs="宋体"/>
          <w:kern w:val="0"/>
          <w:sz w:val="21"/>
          <w:szCs w:val="21"/>
          <w:u w:val="single"/>
          <w:lang w:val="en-US" w:eastAsia="zh-CN"/>
        </w:rPr>
        <w:t>肆</w:t>
      </w:r>
      <w:r>
        <w:rPr>
          <w:rFonts w:hint="eastAsia" w:ascii="宋体" w:hAnsi="宋体" w:eastAsia="宋体" w:cs="宋体"/>
          <w:kern w:val="0"/>
          <w:sz w:val="21"/>
          <w:szCs w:val="21"/>
        </w:rPr>
        <w:t>份，甲方执</w:t>
      </w:r>
      <w:r>
        <w:rPr>
          <w:rFonts w:hint="eastAsia" w:ascii="宋体" w:hAnsi="宋体" w:eastAsia="宋体" w:cs="宋体"/>
          <w:kern w:val="0"/>
          <w:sz w:val="21"/>
          <w:szCs w:val="21"/>
          <w:u w:val="single"/>
          <w:lang w:val="en-US" w:eastAsia="zh-CN"/>
        </w:rPr>
        <w:t>贰</w:t>
      </w:r>
      <w:r>
        <w:rPr>
          <w:rFonts w:hint="eastAsia" w:ascii="宋体" w:hAnsi="宋体" w:eastAsia="宋体" w:cs="宋体"/>
          <w:kern w:val="0"/>
          <w:sz w:val="21"/>
          <w:szCs w:val="21"/>
        </w:rPr>
        <w:t>份，乙方执</w:t>
      </w:r>
      <w:r>
        <w:rPr>
          <w:rFonts w:hint="eastAsia" w:ascii="宋体" w:hAnsi="宋体" w:eastAsia="宋体" w:cs="宋体"/>
          <w:kern w:val="0"/>
          <w:sz w:val="21"/>
          <w:szCs w:val="21"/>
          <w:u w:val="single"/>
          <w:lang w:val="en-US" w:eastAsia="zh-CN"/>
        </w:rPr>
        <w:t>贰</w:t>
      </w:r>
      <w:r>
        <w:rPr>
          <w:rFonts w:hint="eastAsia" w:ascii="宋体" w:hAnsi="宋体" w:eastAsia="宋体" w:cs="宋体"/>
          <w:kern w:val="0"/>
          <w:sz w:val="21"/>
          <w:szCs w:val="21"/>
        </w:rPr>
        <w:t>份。每份均具有同等法律效力。</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smallCaps w:val="0"/>
          <w:kern w:val="0"/>
          <w:sz w:val="21"/>
          <w:szCs w:val="21"/>
          <w:lang w:eastAsia="zh-CN"/>
        </w:rPr>
      </w:pPr>
      <w:r>
        <w:rPr>
          <w:rFonts w:hint="eastAsia" w:ascii="宋体" w:hAnsi="宋体" w:eastAsia="宋体" w:cs="宋体"/>
          <w:kern w:val="0"/>
          <w:sz w:val="21"/>
          <w:szCs w:val="21"/>
        </w:rPr>
        <w:t>（二）本合同自甲乙双方签字盖章后生效。</w:t>
      </w:r>
      <w:r>
        <w:rPr>
          <w:rFonts w:hint="eastAsia" w:ascii="宋体" w:hAnsi="宋体" w:eastAsia="宋体" w:cs="宋体"/>
          <w:smallCaps w:val="0"/>
          <w:kern w:val="0"/>
          <w:sz w:val="21"/>
          <w:szCs w:val="21"/>
          <w:lang w:eastAsia="zh-CN"/>
        </w:rPr>
        <w:t>（</w:t>
      </w:r>
      <w:r>
        <w:rPr>
          <w:rFonts w:hint="eastAsia" w:ascii="宋体" w:hAnsi="宋体" w:eastAsia="宋体" w:cs="宋体"/>
          <w:smallCaps w:val="0"/>
          <w:kern w:val="0"/>
          <w:sz w:val="21"/>
          <w:szCs w:val="21"/>
          <w:lang w:val="en-US" w:eastAsia="zh-CN"/>
        </w:rPr>
        <w:t>以下无正文</w:t>
      </w:r>
      <w:r>
        <w:rPr>
          <w:rFonts w:hint="eastAsia" w:ascii="宋体" w:hAnsi="宋体" w:eastAsia="宋体" w:cs="宋体"/>
          <w:smallCaps w:val="0"/>
          <w:kern w:val="0"/>
          <w:sz w:val="21"/>
          <w:szCs w:val="21"/>
          <w:lang w:eastAsia="zh-CN"/>
        </w:rPr>
        <w:t>）</w:t>
      </w:r>
    </w:p>
    <w:p>
      <w:pPr>
        <w:pStyle w:val="2"/>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br w:type="page"/>
      </w:r>
    </w:p>
    <w:p>
      <w:pPr>
        <w:pStyle w:val="10"/>
        <w:rPr>
          <w:rFonts w:hint="eastAsia" w:ascii="宋体" w:hAnsi="宋体" w:eastAsia="宋体" w:cs="宋体"/>
          <w:smallCaps w:val="0"/>
          <w:kern w:val="0"/>
          <w:sz w:val="21"/>
          <w:szCs w:val="21"/>
          <w:lang w:val="en-US" w:eastAsia="zh-CN"/>
        </w:rPr>
      </w:pPr>
      <w:r>
        <w:rPr>
          <w:rFonts w:hint="eastAsia" w:ascii="宋体" w:hAnsi="宋体" w:eastAsia="宋体" w:cs="宋体"/>
          <w:smallCaps w:val="0"/>
          <w:kern w:val="0"/>
          <w:sz w:val="21"/>
          <w:szCs w:val="21"/>
          <w:lang w:val="en-US" w:eastAsia="zh-CN"/>
        </w:rPr>
        <w:t>(本页为签署页)</w:t>
      </w:r>
    </w:p>
    <w:tbl>
      <w:tblPr>
        <w:tblStyle w:val="11"/>
        <w:tblW w:w="8517" w:type="dxa"/>
        <w:tblInd w:w="108" w:type="dxa"/>
        <w:tblLayout w:type="fixed"/>
        <w:tblCellMar>
          <w:top w:w="0" w:type="dxa"/>
          <w:left w:w="108" w:type="dxa"/>
          <w:bottom w:w="0" w:type="dxa"/>
          <w:right w:w="108" w:type="dxa"/>
        </w:tblCellMar>
      </w:tblPr>
      <w:tblGrid>
        <w:gridCol w:w="4678"/>
        <w:gridCol w:w="3839"/>
      </w:tblGrid>
      <w:tr>
        <w:tblPrEx>
          <w:tblCellMar>
            <w:top w:w="0" w:type="dxa"/>
            <w:left w:w="108" w:type="dxa"/>
            <w:bottom w:w="0" w:type="dxa"/>
            <w:right w:w="108" w:type="dxa"/>
          </w:tblCellMar>
        </w:tblPrEx>
        <w:trPr>
          <w:trHeight w:val="1039" w:hRule="atLeast"/>
        </w:trPr>
        <w:tc>
          <w:tcPr>
            <w:tcW w:w="4678" w:type="dxa"/>
            <w:noWrap w:val="0"/>
            <w:vAlign w:val="top"/>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u w:val="none"/>
              </w:rPr>
            </w:pPr>
            <w:r>
              <w:rPr>
                <w:rFonts w:hint="eastAsia" w:ascii="宋体" w:hAnsi="宋体" w:eastAsia="宋体" w:cs="宋体"/>
                <w:sz w:val="21"/>
                <w:szCs w:val="21"/>
                <w:u w:val="none"/>
              </w:rPr>
              <w:t>甲方（盖章）：数字江门网络建设有限公司</w:t>
            </w:r>
          </w:p>
        </w:tc>
        <w:tc>
          <w:tcPr>
            <w:tcW w:w="3839" w:type="dxa"/>
            <w:noWrap w:val="0"/>
            <w:vAlign w:val="top"/>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u w:val="none"/>
              </w:rPr>
            </w:pPr>
            <w:r>
              <w:rPr>
                <w:rFonts w:hint="eastAsia" w:ascii="宋体" w:hAnsi="宋体" w:eastAsia="宋体" w:cs="宋体"/>
                <w:sz w:val="21"/>
                <w:szCs w:val="21"/>
                <w:u w:val="none"/>
              </w:rPr>
              <w:t>乙方（盖章）：</w:t>
            </w:r>
          </w:p>
        </w:tc>
      </w:tr>
      <w:tr>
        <w:tblPrEx>
          <w:tblCellMar>
            <w:top w:w="0" w:type="dxa"/>
            <w:left w:w="108" w:type="dxa"/>
            <w:bottom w:w="0" w:type="dxa"/>
            <w:right w:w="108" w:type="dxa"/>
          </w:tblCellMar>
        </w:tblPrEx>
        <w:trPr>
          <w:trHeight w:val="822" w:hRule="atLeast"/>
        </w:trPr>
        <w:tc>
          <w:tcPr>
            <w:tcW w:w="4678" w:type="dxa"/>
            <w:noWrap w:val="0"/>
            <w:vAlign w:val="top"/>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u w:val="none"/>
              </w:rPr>
            </w:pPr>
            <w:r>
              <w:rPr>
                <w:rFonts w:hint="eastAsia" w:ascii="宋体" w:hAnsi="宋体" w:eastAsia="宋体" w:cs="宋体"/>
                <w:sz w:val="21"/>
                <w:szCs w:val="21"/>
                <w:u w:val="none"/>
              </w:rPr>
              <w:t>法定代表或授权代表：</w:t>
            </w:r>
          </w:p>
        </w:tc>
        <w:tc>
          <w:tcPr>
            <w:tcW w:w="3839" w:type="dxa"/>
            <w:noWrap w:val="0"/>
            <w:vAlign w:val="top"/>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u w:val="none"/>
              </w:rPr>
            </w:pPr>
            <w:r>
              <w:rPr>
                <w:rFonts w:hint="eastAsia" w:ascii="宋体" w:hAnsi="宋体" w:eastAsia="宋体" w:cs="宋体"/>
                <w:sz w:val="21"/>
                <w:szCs w:val="21"/>
                <w:u w:val="none"/>
              </w:rPr>
              <w:t>法定代表或授权代表：</w:t>
            </w:r>
          </w:p>
        </w:tc>
      </w:tr>
      <w:tr>
        <w:tblPrEx>
          <w:tblCellMar>
            <w:top w:w="0" w:type="dxa"/>
            <w:left w:w="108" w:type="dxa"/>
            <w:bottom w:w="0" w:type="dxa"/>
            <w:right w:w="108" w:type="dxa"/>
          </w:tblCellMar>
        </w:tblPrEx>
        <w:trPr>
          <w:trHeight w:val="435" w:hRule="atLeast"/>
        </w:trPr>
        <w:tc>
          <w:tcPr>
            <w:tcW w:w="4678" w:type="dxa"/>
            <w:noWrap w:val="0"/>
            <w:vAlign w:val="bottom"/>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u w:val="none"/>
              </w:rPr>
            </w:pPr>
            <w:r>
              <w:rPr>
                <w:rFonts w:hint="eastAsia" w:ascii="宋体" w:hAnsi="宋体" w:eastAsia="宋体" w:cs="宋体"/>
                <w:sz w:val="21"/>
                <w:szCs w:val="21"/>
                <w:u w:val="none"/>
              </w:rPr>
              <w:t>地址：</w:t>
            </w:r>
          </w:p>
        </w:tc>
        <w:tc>
          <w:tcPr>
            <w:tcW w:w="3839" w:type="dxa"/>
            <w:noWrap w:val="0"/>
            <w:vAlign w:val="bottom"/>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u w:val="none"/>
              </w:rPr>
            </w:pPr>
            <w:r>
              <w:rPr>
                <w:rFonts w:hint="eastAsia" w:ascii="宋体" w:hAnsi="宋体" w:eastAsia="宋体" w:cs="宋体"/>
                <w:sz w:val="21"/>
                <w:szCs w:val="21"/>
                <w:u w:val="none"/>
              </w:rPr>
              <w:t>地址：</w:t>
            </w:r>
          </w:p>
        </w:tc>
      </w:tr>
      <w:tr>
        <w:tblPrEx>
          <w:tblCellMar>
            <w:top w:w="0" w:type="dxa"/>
            <w:left w:w="108" w:type="dxa"/>
            <w:bottom w:w="0" w:type="dxa"/>
            <w:right w:w="108" w:type="dxa"/>
          </w:tblCellMar>
        </w:tblPrEx>
        <w:trPr>
          <w:trHeight w:val="460" w:hRule="atLeast"/>
        </w:trPr>
        <w:tc>
          <w:tcPr>
            <w:tcW w:w="4678"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开户银行：</w:t>
            </w:r>
          </w:p>
        </w:tc>
        <w:tc>
          <w:tcPr>
            <w:tcW w:w="3839"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开户银行：</w:t>
            </w:r>
          </w:p>
        </w:tc>
      </w:tr>
      <w:tr>
        <w:tblPrEx>
          <w:tblCellMar>
            <w:top w:w="0" w:type="dxa"/>
            <w:left w:w="108" w:type="dxa"/>
            <w:bottom w:w="0" w:type="dxa"/>
            <w:right w:w="108" w:type="dxa"/>
          </w:tblCellMar>
        </w:tblPrEx>
        <w:trPr>
          <w:trHeight w:val="435" w:hRule="atLeast"/>
        </w:trPr>
        <w:tc>
          <w:tcPr>
            <w:tcW w:w="4678"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账号：</w:t>
            </w:r>
          </w:p>
        </w:tc>
        <w:tc>
          <w:tcPr>
            <w:tcW w:w="3839"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账号：</w:t>
            </w:r>
          </w:p>
        </w:tc>
      </w:tr>
      <w:tr>
        <w:tblPrEx>
          <w:tblCellMar>
            <w:top w:w="0" w:type="dxa"/>
            <w:left w:w="108" w:type="dxa"/>
            <w:bottom w:w="0" w:type="dxa"/>
            <w:right w:w="108" w:type="dxa"/>
          </w:tblCellMar>
        </w:tblPrEx>
        <w:trPr>
          <w:trHeight w:val="472" w:hRule="atLeast"/>
        </w:trPr>
        <w:tc>
          <w:tcPr>
            <w:tcW w:w="4678"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电话：</w:t>
            </w:r>
          </w:p>
        </w:tc>
        <w:tc>
          <w:tcPr>
            <w:tcW w:w="3839"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电话：</w:t>
            </w:r>
          </w:p>
        </w:tc>
      </w:tr>
      <w:tr>
        <w:tblPrEx>
          <w:tblCellMar>
            <w:top w:w="0" w:type="dxa"/>
            <w:left w:w="108" w:type="dxa"/>
            <w:bottom w:w="0" w:type="dxa"/>
            <w:right w:w="108" w:type="dxa"/>
          </w:tblCellMar>
        </w:tblPrEx>
        <w:trPr>
          <w:trHeight w:val="460" w:hRule="atLeast"/>
        </w:trPr>
        <w:tc>
          <w:tcPr>
            <w:tcW w:w="4678"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签约时间：   年   月   日</w:t>
            </w:r>
          </w:p>
        </w:tc>
        <w:tc>
          <w:tcPr>
            <w:tcW w:w="3839" w:type="dxa"/>
            <w:noWrap w:val="0"/>
            <w:vAlign w:val="bottom"/>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1"/>
                <w:szCs w:val="21"/>
                <w:u w:val="none"/>
              </w:rPr>
            </w:pPr>
            <w:r>
              <w:rPr>
                <w:rFonts w:hint="eastAsia" w:ascii="宋体" w:hAnsi="宋体" w:eastAsia="宋体" w:cs="宋体"/>
                <w:sz w:val="21"/>
                <w:szCs w:val="21"/>
                <w:u w:val="none"/>
              </w:rPr>
              <w:t>签约时间：   年   月   日</w:t>
            </w:r>
          </w:p>
        </w:tc>
      </w:tr>
      <w:tr>
        <w:tblPrEx>
          <w:tblCellMar>
            <w:top w:w="0" w:type="dxa"/>
            <w:left w:w="108" w:type="dxa"/>
            <w:bottom w:w="0" w:type="dxa"/>
            <w:right w:w="108" w:type="dxa"/>
          </w:tblCellMar>
        </w:tblPrEx>
        <w:trPr>
          <w:trHeight w:val="935" w:hRule="atLeast"/>
        </w:trPr>
        <w:tc>
          <w:tcPr>
            <w:tcW w:w="8517" w:type="dxa"/>
            <w:gridSpan w:val="2"/>
            <w:noWrap w:val="0"/>
            <w:vAlign w:val="bottom"/>
          </w:tcPr>
          <w:p>
            <w:pPr>
              <w:pStyle w:val="7"/>
              <w:keepNext w:val="0"/>
              <w:keepLines w:val="0"/>
              <w:suppressLineNumbers w:val="0"/>
              <w:spacing w:before="0" w:beforeAutospacing="0" w:after="0" w:afterAutospacing="0" w:line="360" w:lineRule="auto"/>
              <w:ind w:left="0" w:right="0"/>
              <w:rPr>
                <w:rFonts w:hint="eastAsia" w:ascii="宋体" w:hAnsi="宋体" w:eastAsia="宋体" w:cs="宋体"/>
                <w:kern w:val="2"/>
                <w:sz w:val="21"/>
                <w:szCs w:val="21"/>
              </w:rPr>
            </w:pPr>
          </w:p>
          <w:p>
            <w:pPr>
              <w:pStyle w:val="7"/>
              <w:keepNext w:val="0"/>
              <w:keepLines w:val="0"/>
              <w:suppressLineNumbers w:val="0"/>
              <w:spacing w:before="0" w:beforeAutospacing="0" w:after="0" w:afterAutospacing="0" w:line="360" w:lineRule="auto"/>
              <w:ind w:left="0" w:right="0"/>
              <w:rPr>
                <w:rFonts w:hint="eastAsia" w:ascii="宋体" w:hAnsi="宋体" w:eastAsia="宋体" w:cs="宋体"/>
                <w:sz w:val="21"/>
                <w:szCs w:val="21"/>
              </w:rPr>
            </w:pPr>
            <w:r>
              <w:rPr>
                <w:rFonts w:hint="eastAsia" w:ascii="宋体" w:hAnsi="宋体" w:eastAsia="宋体" w:cs="宋体"/>
                <w:kern w:val="2"/>
                <w:sz w:val="21"/>
                <w:szCs w:val="21"/>
              </w:rPr>
              <w:t>签约地点：江门市蓬江区</w:t>
            </w:r>
          </w:p>
        </w:tc>
      </w:tr>
    </w:tbl>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19"/>
          <w:rFonts w:hint="eastAsia" w:ascii="宋体" w:hAnsi="宋体" w:eastAsia="宋体" w:cs="宋体"/>
          <w:sz w:val="21"/>
          <w:szCs w:val="21"/>
          <w:highlight w:val="none"/>
        </w:rPr>
      </w:pPr>
    </w:p>
    <w:p>
      <w:pPr>
        <w:pStyle w:val="10"/>
        <w:rPr>
          <w:rFonts w:hint="eastAsia"/>
          <w:sz w:val="21"/>
          <w:szCs w:val="21"/>
        </w:rPr>
      </w:pPr>
    </w:p>
    <w:p>
      <w:pPr>
        <w:ind w:firstLine="422" w:firstLineChars="200"/>
        <w:rPr>
          <w:rFonts w:hint="eastAsia" w:ascii="宋体" w:hAnsi="宋体" w:eastAsia="宋体" w:cs="宋体"/>
          <w:color w:val="auto"/>
          <w:sz w:val="21"/>
          <w:szCs w:val="21"/>
          <w:highlight w:val="none"/>
        </w:rPr>
      </w:pPr>
      <w:r>
        <w:rPr>
          <w:rFonts w:hint="eastAsia" w:ascii="宋体" w:hAnsi="宋体" w:eastAsia="宋体" w:cs="宋体"/>
          <w:b/>
          <w:bCs/>
          <w:sz w:val="21"/>
          <w:szCs w:val="21"/>
          <w:highlight w:val="none"/>
        </w:rPr>
        <w:t>注：本合同样本仅供形式上的参考，具体条款内容由采购人和成交供应商协商确定。</w:t>
      </w:r>
    </w:p>
    <w:p>
      <w:pPr>
        <w:pStyle w:val="10"/>
      </w:pPr>
    </w:p>
    <w:sectPr>
      <w:headerReference r:id="rId3" w:type="default"/>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ED7DA"/>
    <w:multiLevelType w:val="singleLevel"/>
    <w:tmpl w:val="BBCED7DA"/>
    <w:lvl w:ilvl="0" w:tentative="0">
      <w:start w:val="4"/>
      <w:numFmt w:val="chineseCounting"/>
      <w:suff w:val="nothing"/>
      <w:lvlText w:val="%1、"/>
      <w:lvlJc w:val="left"/>
      <w:rPr>
        <w:rFonts w:hint="eastAsia"/>
      </w:rPr>
    </w:lvl>
  </w:abstractNum>
  <w:abstractNum w:abstractNumId="1">
    <w:nsid w:val="504BE74F"/>
    <w:multiLevelType w:val="singleLevel"/>
    <w:tmpl w:val="504BE74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31B0F"/>
    <w:rsid w:val="088210AA"/>
    <w:rsid w:val="08B52BC0"/>
    <w:rsid w:val="0DC91529"/>
    <w:rsid w:val="0F8F6A2A"/>
    <w:rsid w:val="113D25FC"/>
    <w:rsid w:val="1E85324A"/>
    <w:rsid w:val="21183C0B"/>
    <w:rsid w:val="23C91DC7"/>
    <w:rsid w:val="251B46E0"/>
    <w:rsid w:val="278948F6"/>
    <w:rsid w:val="299921A6"/>
    <w:rsid w:val="2A1E1721"/>
    <w:rsid w:val="2AF23A16"/>
    <w:rsid w:val="2C993774"/>
    <w:rsid w:val="2F520F27"/>
    <w:rsid w:val="2F7075FF"/>
    <w:rsid w:val="2FD30669"/>
    <w:rsid w:val="359535FF"/>
    <w:rsid w:val="35FF4995"/>
    <w:rsid w:val="3C312502"/>
    <w:rsid w:val="3D6769ED"/>
    <w:rsid w:val="4E006AFF"/>
    <w:rsid w:val="509946DA"/>
    <w:rsid w:val="52421193"/>
    <w:rsid w:val="56C66CC8"/>
    <w:rsid w:val="61280A38"/>
    <w:rsid w:val="6503162B"/>
    <w:rsid w:val="719426FE"/>
    <w:rsid w:val="74531B0F"/>
    <w:rsid w:val="7A60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5">
    <w:name w:val="Normal Indent"/>
    <w:basedOn w:val="1"/>
    <w:qFormat/>
    <w:uiPriority w:val="0"/>
    <w:pPr>
      <w:ind w:firstLine="420" w:firstLineChars="200"/>
    </w:pPr>
  </w:style>
  <w:style w:type="paragraph" w:styleId="6">
    <w:name w:val="annotation text"/>
    <w:basedOn w:val="1"/>
    <w:unhideWhenUsed/>
    <w:qFormat/>
    <w:uiPriority w:val="0"/>
    <w:pPr>
      <w:jc w:val="left"/>
    </w:pPr>
    <w:rPr>
      <w:rFonts w:ascii="Times New Roman" w:hAnsi="Times New Roman" w:eastAsia="仿宋" w:cs="Times New Roman"/>
      <w:sz w:val="32"/>
      <w:szCs w:val="20"/>
    </w:rPr>
  </w:style>
  <w:style w:type="paragraph" w:styleId="7">
    <w:name w:val="Date"/>
    <w:basedOn w:val="1"/>
    <w:next w:val="1"/>
    <w:qFormat/>
    <w:uiPriority w:val="0"/>
    <w:pPr>
      <w:autoSpaceDE w:val="0"/>
      <w:autoSpaceDN w:val="0"/>
      <w:adjustRightInd w:val="0"/>
      <w:textAlignment w:val="baseline"/>
    </w:pPr>
    <w:rPr>
      <w:rFonts w:ascii="宋体" w:eastAsia="宋体"/>
      <w:kern w:val="0"/>
      <w:sz w:val="28"/>
    </w:rPr>
  </w:style>
  <w:style w:type="paragraph" w:styleId="8">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0">
    <w:name w:val="toc 2"/>
    <w:basedOn w:val="1"/>
    <w:next w:val="1"/>
    <w:unhideWhenUsed/>
    <w:qFormat/>
    <w:uiPriority w:val="39"/>
    <w:pPr>
      <w:spacing w:after="156"/>
      <w:ind w:left="480" w:leftChars="200"/>
    </w:pPr>
  </w:style>
  <w:style w:type="paragraph" w:customStyle="1" w:styleId="13">
    <w:name w:val="List Paragraph"/>
    <w:basedOn w:val="1"/>
    <w:unhideWhenUsed/>
    <w:qFormat/>
    <w:uiPriority w:val="34"/>
    <w:pPr>
      <w:ind w:firstLine="420" w:firstLineChars="200"/>
    </w:pPr>
    <w:rPr>
      <w:rFonts w:eastAsia="宋体"/>
      <w:szCs w:val="24"/>
    </w:rPr>
  </w:style>
  <w:style w:type="paragraph" w:customStyle="1" w:styleId="14">
    <w:name w:val="_Style 97"/>
    <w:basedOn w:val="1"/>
    <w:next w:val="13"/>
    <w:qFormat/>
    <w:uiPriority w:val="0"/>
    <w:pPr>
      <w:ind w:firstLine="420" w:firstLineChars="200"/>
    </w:pPr>
  </w:style>
  <w:style w:type="paragraph" w:customStyle="1" w:styleId="1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列表段落1"/>
    <w:basedOn w:val="1"/>
    <w:unhideWhenUsed/>
    <w:qFormat/>
    <w:uiPriority w:val="34"/>
    <w:pPr>
      <w:ind w:firstLine="420" w:firstLineChars="200"/>
    </w:pPr>
    <w:rPr>
      <w:rFonts w:eastAsia="宋体"/>
    </w:rPr>
  </w:style>
  <w:style w:type="paragraph" w:customStyle="1" w:styleId="17">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8">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9">
    <w:name w:val="unnamed11"/>
    <w:qFormat/>
    <w:uiPriority w:val="0"/>
    <w:rPr>
      <w:sz w:val="18"/>
      <w:szCs w:val="18"/>
    </w:rPr>
  </w:style>
  <w:style w:type="character" w:customStyle="1" w:styleId="20">
    <w:name w:val="font01"/>
    <w:basedOn w:val="12"/>
    <w:qFormat/>
    <w:uiPriority w:val="0"/>
    <w:rPr>
      <w:rFonts w:hint="eastAsia" w:ascii="宋体" w:hAnsi="宋体" w:eastAsia="宋体" w:cs="宋体"/>
      <w:color w:val="000000"/>
      <w:sz w:val="24"/>
      <w:szCs w:val="24"/>
      <w:u w:val="none"/>
    </w:rPr>
  </w:style>
  <w:style w:type="paragraph" w:customStyle="1" w:styleId="21">
    <w:name w:val="列出段落1"/>
    <w:basedOn w:val="1"/>
    <w:qFormat/>
    <w:uiPriority w:val="34"/>
    <w:pPr>
      <w:ind w:firstLine="420" w:firstLineChars="200"/>
    </w:pPr>
    <w:rPr>
      <w:rFonts w:cstheme="minorBid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Office_11.1.0.11435_F1E327BC-269C-435d-A152-05C5408002CA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林月霞</cp:lastModifiedBy>
  <dcterms:modified xsi:type="dcterms:W3CDTF">2022-06-27T07:13:57Z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83A5D0F788CA4BA8A968E511DEB9F141</vt:lpwstr>
  </property>
</Properties>
</file>