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cs="Times New Roman" w:eastAsiaTheme="minorEastAsia"/>
          <w:b/>
          <w:bCs/>
          <w:kern w:val="44"/>
          <w:sz w:val="32"/>
          <w:szCs w:val="32"/>
          <w:highlight w:val="none"/>
          <w:lang w:val="en-US" w:eastAsia="zh-CN" w:bidi="ar-SA"/>
        </w:rPr>
      </w:pPr>
      <w:bookmarkStart w:id="0" w:name="_GoBack"/>
      <w:bookmarkEnd w:id="0"/>
      <w:r>
        <w:rPr>
          <w:rFonts w:hint="eastAsia" w:ascii="Times New Roman" w:hAnsi="Times New Roman" w:cs="Times New Roman" w:eastAsiaTheme="minorEastAsia"/>
          <w:b/>
          <w:bCs/>
          <w:kern w:val="44"/>
          <w:sz w:val="32"/>
          <w:szCs w:val="32"/>
          <w:highlight w:val="none"/>
          <w:lang w:val="en-US" w:eastAsia="zh-CN" w:bidi="ar-SA"/>
        </w:rPr>
        <w:t>数字江门网络建设有限公司管理体系认证服务项目</w:t>
      </w:r>
    </w:p>
    <w:p>
      <w:pPr>
        <w:jc w:val="center"/>
        <w:rPr>
          <w:rFonts w:hint="default"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ind w:firstLine="560" w:firstLineChars="200"/>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近年来，随着公司的业务水平日渐成熟、经营范围不断拓展，企业管理水平与市场竞争能力亟待提高。质量管理认证是企业自身发展的需要，也是公司开拓市场提升企业核心竞争力的要求。为强化企业质量管理意识，提升内部管理能力，持续满足顾客的需求与期望，我公司拟启动建立ISO9001:2015质量管理体系、ISO14001:2015环境管理体系、ISO45001:2018职业健康安全管理体系（简称QES体系）、ISO20000信息技术服务管理体系、ISO27001信息安全管理体系及ISO27701隐私信息管理体系标准，ISO多体系融合的管理体系的申请与认证工作，持续改进公司内部管理的标准化、程序化、规范化，使质量管理工作再上一个新台阶，持续推动企业稳定健康发展。</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tbl>
      <w:tblPr>
        <w:tblStyle w:val="10"/>
        <w:tblpPr w:leftFromText="180" w:rightFromText="180" w:vertAnchor="text" w:horzAnchor="page" w:tblpX="1928" w:tblpY="601"/>
        <w:tblOverlap w:val="never"/>
        <w:tblW w:w="484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3"/>
        <w:gridCol w:w="2366"/>
        <w:gridCol w:w="49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名称</w:t>
            </w:r>
          </w:p>
        </w:tc>
        <w:tc>
          <w:tcPr>
            <w:tcW w:w="2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服务内容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b/>
                <w:bCs/>
                <w:i w:val="0"/>
                <w:iCs w:val="0"/>
                <w:color w:val="000000"/>
                <w:kern w:val="0"/>
                <w:sz w:val="28"/>
                <w:szCs w:val="28"/>
                <w:u w:val="none"/>
                <w:lang w:val="en-US" w:eastAsia="zh-CN" w:bidi="ar"/>
              </w:rPr>
            </w:pPr>
            <w:r>
              <w:rPr>
                <w:rFonts w:hint="eastAsia" w:ascii="仿宋" w:hAnsi="仿宋" w:eastAsia="仿宋" w:cs="仿宋"/>
                <w:b w:val="0"/>
                <w:bCs w:val="0"/>
                <w:i w:val="0"/>
                <w:iCs w:val="0"/>
                <w:color w:val="000000"/>
                <w:kern w:val="0"/>
                <w:sz w:val="28"/>
                <w:szCs w:val="28"/>
                <w:u w:val="none"/>
                <w:lang w:val="en-US" w:eastAsia="zh-CN" w:bidi="ar"/>
              </w:rPr>
              <w:t>1</w:t>
            </w:r>
          </w:p>
        </w:tc>
        <w:tc>
          <w:tcPr>
            <w:tcW w:w="1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体系诊断研究</w:t>
            </w:r>
          </w:p>
        </w:tc>
        <w:tc>
          <w:tcPr>
            <w:tcW w:w="2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根据公司需求，进行管理现状分析及体系诊断。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r>
              <w:rPr>
                <w:rFonts w:hint="eastAsia" w:ascii="仿宋" w:hAnsi="仿宋" w:eastAsia="仿宋" w:cs="仿宋"/>
                <w:b w:val="0"/>
                <w:bCs w:val="0"/>
                <w:i w:val="0"/>
                <w:iCs w:val="0"/>
                <w:color w:val="000000"/>
                <w:kern w:val="0"/>
                <w:sz w:val="28"/>
                <w:szCs w:val="28"/>
                <w:u w:val="none"/>
                <w:lang w:val="en-US" w:eastAsia="zh-CN" w:bidi="ar"/>
              </w:rPr>
              <w:t>2</w:t>
            </w:r>
          </w:p>
        </w:tc>
        <w:tc>
          <w:tcPr>
            <w:tcW w:w="1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体系设计</w:t>
            </w:r>
          </w:p>
        </w:tc>
        <w:tc>
          <w:tcPr>
            <w:tcW w:w="2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建立公司质量方针和目标，设计组织架构及体系文件架构。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sz w:val="28"/>
                <w:szCs w:val="28"/>
                <w:u w:val="none"/>
                <w:lang w:val="en-US"/>
              </w:rPr>
            </w:pPr>
            <w:r>
              <w:rPr>
                <w:rFonts w:hint="eastAsia" w:ascii="仿宋" w:hAnsi="仿宋" w:eastAsia="仿宋" w:cs="仿宋"/>
                <w:i w:val="0"/>
                <w:iCs w:val="0"/>
                <w:color w:val="000000"/>
                <w:sz w:val="28"/>
                <w:szCs w:val="28"/>
                <w:u w:val="none"/>
                <w:lang w:val="en-US" w:eastAsia="zh-CN"/>
              </w:rPr>
              <w:t>体系培训服务</w:t>
            </w:r>
          </w:p>
        </w:tc>
        <w:tc>
          <w:tcPr>
            <w:tcW w:w="2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结合体系诊断结果及公司运营情况，提供</w:t>
            </w:r>
            <w:r>
              <w:rPr>
                <w:rFonts w:hint="eastAsia" w:ascii="仿宋" w:hAnsi="仿宋" w:eastAsia="仿宋" w:cs="仿宋"/>
                <w:i w:val="0"/>
                <w:iCs w:val="0"/>
                <w:color w:val="000000"/>
                <w:sz w:val="28"/>
                <w:szCs w:val="28"/>
                <w:u w:val="none"/>
              </w:rPr>
              <w:t>体系标准的宣贯培训、管理体系文件培训</w:t>
            </w:r>
            <w:r>
              <w:rPr>
                <w:rFonts w:hint="eastAsia" w:ascii="仿宋" w:hAnsi="仿宋" w:eastAsia="仿宋" w:cs="仿宋"/>
                <w:i w:val="0"/>
                <w:iCs w:val="0"/>
                <w:color w:val="000000"/>
                <w:sz w:val="28"/>
                <w:szCs w:val="28"/>
                <w:u w:val="none"/>
                <w:lang w:eastAsia="zh-CN"/>
              </w:rPr>
              <w:t>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4</w:t>
            </w:r>
          </w:p>
        </w:tc>
        <w:tc>
          <w:tcPr>
            <w:tcW w:w="1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体系建立</w:t>
            </w:r>
          </w:p>
        </w:tc>
        <w:tc>
          <w:tcPr>
            <w:tcW w:w="2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sz w:val="28"/>
                <w:szCs w:val="28"/>
                <w:u w:val="none"/>
                <w:lang w:eastAsia="zh-CN"/>
              </w:rPr>
              <w:t>建立融合性管理体系文件，现场辅导第三、四层次体系文件编写；审查修订文件；文件审批和发布。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体系运行实施</w:t>
            </w:r>
          </w:p>
        </w:tc>
        <w:tc>
          <w:tcPr>
            <w:tcW w:w="2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sz w:val="28"/>
                <w:szCs w:val="28"/>
                <w:u w:val="none"/>
              </w:rPr>
              <w:t>指导实施与运行管理体系，组织内审与管理评审。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w:t>
            </w:r>
          </w:p>
        </w:tc>
        <w:tc>
          <w:tcPr>
            <w:tcW w:w="1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体系评价与改善</w:t>
            </w:r>
          </w:p>
        </w:tc>
        <w:tc>
          <w:tcPr>
            <w:tcW w:w="2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sz w:val="28"/>
                <w:szCs w:val="28"/>
                <w:u w:val="none"/>
              </w:rPr>
              <w:t>在审核前进行体系符合性审核及纠正措施的监督。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w:t>
            </w:r>
          </w:p>
        </w:tc>
        <w:tc>
          <w:tcPr>
            <w:tcW w:w="1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sz w:val="28"/>
                <w:szCs w:val="28"/>
                <w:u w:val="none"/>
                <w:lang w:eastAsia="zh-CN"/>
              </w:rPr>
              <w:t>评审认证</w:t>
            </w:r>
          </w:p>
        </w:tc>
        <w:tc>
          <w:tcPr>
            <w:tcW w:w="2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认证准备培训，认证过程现场陪审，协助解决出现的不合格，指导不合格的现场纠正。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w:t>
            </w:r>
          </w:p>
        </w:tc>
        <w:tc>
          <w:tcPr>
            <w:tcW w:w="1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i w:val="0"/>
                <w:iCs w:val="0"/>
                <w:color w:val="000000"/>
                <w:sz w:val="28"/>
                <w:szCs w:val="28"/>
                <w:u w:val="none"/>
                <w:lang w:eastAsia="zh-CN"/>
              </w:rPr>
            </w:pPr>
            <w:r>
              <w:rPr>
                <w:rFonts w:hint="eastAsia" w:ascii="仿宋" w:hAnsi="仿宋" w:eastAsia="仿宋" w:cs="仿宋"/>
                <w:i w:val="0"/>
                <w:iCs w:val="0"/>
                <w:color w:val="000000"/>
                <w:sz w:val="28"/>
                <w:szCs w:val="28"/>
                <w:u w:val="none"/>
                <w:lang w:eastAsia="zh-CN"/>
              </w:rPr>
              <w:t>评审获证</w:t>
            </w:r>
          </w:p>
        </w:tc>
        <w:tc>
          <w:tcPr>
            <w:tcW w:w="29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rPr>
              <w:t>ISO9001:2015质量管理体系、ISO14001:2015环境管理体系、ISO45001:2018职业健康安全管理体系、ISO20000信息技术服务管理体系、ISO27001信息安全管理体系及ISO27701隐私信息管理体系</w:t>
            </w:r>
            <w:r>
              <w:rPr>
                <w:rFonts w:hint="eastAsia" w:ascii="仿宋" w:hAnsi="仿宋" w:eastAsia="仿宋" w:cs="仿宋"/>
                <w:i w:val="0"/>
                <w:iCs w:val="0"/>
                <w:color w:val="000000"/>
                <w:sz w:val="28"/>
                <w:szCs w:val="28"/>
                <w:u w:val="none"/>
                <w:lang w:eastAsia="zh-CN"/>
              </w:rPr>
              <w:t>。</w:t>
            </w:r>
          </w:p>
        </w:tc>
      </w:tr>
    </w:tbl>
    <w:p>
      <w:pPr>
        <w:ind w:firstLine="560" w:firstLineChars="200"/>
        <w:rPr>
          <w:rFonts w:hint="eastAsia" w:ascii="仿宋" w:hAnsi="仿宋" w:eastAsia="仿宋" w:cs="仿宋"/>
          <w:b w:val="0"/>
          <w:bCs w:val="0"/>
          <w:color w:val="auto"/>
          <w:kern w:val="2"/>
          <w:sz w:val="28"/>
          <w:szCs w:val="28"/>
          <w:highlight w:val="none"/>
          <w:lang w:val="zh-CN" w:eastAsia="zh-CN" w:bidi="ar-SA"/>
        </w:rPr>
      </w:pP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kern w:val="0"/>
          <w:sz w:val="28"/>
          <w:szCs w:val="28"/>
          <w:lang w:val="en-US" w:eastAsia="zh-CN" w:bidi="ar-SA"/>
        </w:rPr>
        <w:t>本合同自双方签字之日起开始生效，提供一年服务，服务</w:t>
      </w:r>
      <w:r>
        <w:rPr>
          <w:rFonts w:hint="eastAsia" w:ascii="仿宋" w:hAnsi="仿宋" w:eastAsia="仿宋" w:cs="仿宋"/>
          <w:color w:val="auto"/>
          <w:kern w:val="0"/>
          <w:sz w:val="28"/>
          <w:szCs w:val="28"/>
          <w:lang w:val="en-US" w:eastAsia="zh-CN" w:bidi="ar-SA"/>
        </w:rPr>
        <w:t>期内完成服务内容中管理体系认证服务，取得证书时结束。</w:t>
      </w:r>
    </w:p>
    <w:p>
      <w:pPr>
        <w:numPr>
          <w:ilvl w:val="0"/>
          <w:numId w:val="1"/>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服务要求</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由中选供应商主导体系文件编制、体系宣贯培训、体系文件运行指导和检查、体系评价和改善等工作，以及认证时的现场陪审，协助解决出现的不合格，指导不合格的现场纠正，并确保采购人顺利通过认证，获得ISO9001:2015质量管理体系、ISO14001:2015环境管理体系、ISO45001:2018职业健康安全管理体系（简称QES体系）、ISO20000信息技术服务管理体系、ISO27001信息安全管理体系及ISO27701隐私信息管理体系的认证证书。</w:t>
      </w:r>
    </w:p>
    <w:p>
      <w:pPr>
        <w:numPr>
          <w:ilvl w:val="0"/>
          <w:numId w:val="0"/>
        </w:numPr>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五、售后服务</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textAlignment w:val="auto"/>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服务期结束后，需提供电话支持和相关技术咨询服务，免费解答采购人提出的有关后续体系认证标准执行过程中出现的各种问题。</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六、项目预算</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zh-CN" w:eastAsia="zh-CN" w:bidi="ar-SA"/>
        </w:rPr>
        <w:t>（</w:t>
      </w:r>
      <w:r>
        <w:rPr>
          <w:rFonts w:hint="eastAsia" w:ascii="仿宋" w:hAnsi="仿宋" w:eastAsia="仿宋" w:cs="仿宋"/>
          <w:color w:val="auto"/>
          <w:kern w:val="2"/>
          <w:sz w:val="28"/>
          <w:szCs w:val="28"/>
          <w:highlight w:val="none"/>
          <w:lang w:val="en-US" w:eastAsia="zh-CN" w:bidi="ar-SA"/>
        </w:rPr>
        <w:t>一</w:t>
      </w:r>
      <w:r>
        <w:rPr>
          <w:rFonts w:hint="eastAsia" w:ascii="仿宋" w:hAnsi="仿宋" w:eastAsia="仿宋" w:cs="仿宋"/>
          <w:color w:val="auto"/>
          <w:kern w:val="2"/>
          <w:sz w:val="28"/>
          <w:szCs w:val="28"/>
          <w:highlight w:val="none"/>
          <w:lang w:val="zh-CN" w:eastAsia="zh-CN" w:bidi="ar-SA"/>
        </w:rPr>
        <w:t>）项目</w:t>
      </w:r>
      <w:r>
        <w:rPr>
          <w:rFonts w:hint="eastAsia" w:ascii="仿宋" w:hAnsi="仿宋" w:eastAsia="仿宋" w:cs="仿宋"/>
          <w:color w:val="auto"/>
          <w:kern w:val="2"/>
          <w:sz w:val="28"/>
          <w:szCs w:val="28"/>
          <w:highlight w:val="none"/>
          <w:lang w:val="en-US" w:eastAsia="zh-CN" w:bidi="ar-SA"/>
        </w:rPr>
        <w:t>（含税）最高限价为人民币12.7万元（含税），中选供应商需根据实际成交价提供相应税率的增值税专用发票。</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leftChars="0"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（二）支付方式：</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按合同总费用三分期支付：</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第一期：签订合同后，中选供应商向采购人提供符合国家财务规定的增值税专用发票后，采购人收到有效发票的15个工作日内，向中选供应商支付首期服务费用（合同总费用的 20 %）。</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二期：经采购人签认项目推行计划及体系设计阶段的输出文件，中选供应商向采购人提供符合国家财务规定的增值税专用发票后，采购人收到有效发票的15个工作日内，向中选供应商支付第二期服务费用（合同总费用的 20 %）。</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第三期：采购人通过现场评审并取得可通过全国认证认可信息公共服务平台查询的全部有效认证证书后，中选供应商向采购人提供符合国家财务规定的增值税专用发票，采购人收到有效发票的15个工作日内，向中选供应商支付服务费用尾款（合同总费用的 60 %）。</w:t>
      </w:r>
    </w:p>
    <w:p>
      <w:pPr>
        <w:pStyle w:val="12"/>
        <w:spacing w:line="276" w:lineRule="auto"/>
        <w:ind w:firstLine="640"/>
        <w:rPr>
          <w:rFonts w:hint="eastAsia" w:ascii="仿宋" w:hAnsi="仿宋" w:eastAsia="仿宋" w:cs="仿宋"/>
          <w:kern w:val="0"/>
          <w:sz w:val="28"/>
          <w:szCs w:val="28"/>
          <w:lang w:val="en-US" w:eastAsia="zh-CN" w:bidi="ar-SA"/>
        </w:rPr>
      </w:pPr>
      <w:r>
        <w:rPr>
          <w:rFonts w:hint="eastAsia" w:ascii="仿宋" w:hAnsi="仿宋" w:eastAsia="仿宋" w:cs="仿宋"/>
          <w:color w:val="auto"/>
          <w:kern w:val="2"/>
          <w:sz w:val="28"/>
          <w:szCs w:val="28"/>
          <w:highlight w:val="none"/>
          <w:lang w:val="en-US" w:eastAsia="zh-CN" w:bidi="ar-SA"/>
        </w:rPr>
        <w:t>中选供应商未按约定提供发票的，采购人有权拒绝</w:t>
      </w:r>
      <w:r>
        <w:rPr>
          <w:rFonts w:hint="eastAsia" w:ascii="仿宋" w:hAnsi="仿宋" w:eastAsia="仿宋" w:cs="仿宋"/>
          <w:kern w:val="0"/>
          <w:sz w:val="28"/>
          <w:szCs w:val="28"/>
          <w:lang w:val="en-US" w:eastAsia="zh-CN" w:bidi="ar-SA"/>
        </w:rPr>
        <w:t>付款且不承担违约责任。</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七</w:t>
      </w:r>
      <w:r>
        <w:rPr>
          <w:rFonts w:hint="eastAsia" w:ascii="黑体" w:hAnsi="黑体" w:eastAsia="黑体" w:cs="黑体"/>
          <w:b/>
          <w:color w:val="auto"/>
          <w:sz w:val="28"/>
          <w:szCs w:val="28"/>
          <w:highlight w:val="none"/>
        </w:rPr>
        <w:t>、文件盖章及制作格式</w:t>
      </w:r>
    </w:p>
    <w:p>
      <w:pPr>
        <w:pStyle w:val="15"/>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5"/>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九、确定供应商</w:t>
      </w:r>
    </w:p>
    <w:p>
      <w:pPr>
        <w:pStyle w:val="12"/>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2"/>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2"/>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6"/>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2"/>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default"/>
          <w:lang w:val="en-US"/>
        </w:rPr>
      </w:pPr>
      <w:r>
        <w:rPr>
          <w:rFonts w:hint="eastAsia" w:ascii="仿宋" w:hAnsi="仿宋" w:eastAsia="仿宋" w:cs="仿宋"/>
          <w:color w:val="auto"/>
          <w:spacing w:val="0"/>
          <w:kern w:val="0"/>
          <w:sz w:val="28"/>
          <w:szCs w:val="28"/>
          <w:highlight w:val="none"/>
          <w:lang w:val="en-US" w:eastAsia="zh-CN" w:bidi="ar-SA"/>
        </w:rPr>
        <w:t>2022年6月20日</w:t>
      </w:r>
    </w:p>
    <w:p>
      <w:pPr>
        <w:pStyle w:val="16"/>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0"/>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JYCG2022010</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数字江门网络建设有限公司管理体系认证服务项目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color w:val="auto"/>
          <w:highlight w:val="none"/>
        </w:rPr>
      </w:pPr>
      <w:r>
        <w:rPr>
          <w:color w:val="auto"/>
          <w:highlight w:val="none"/>
        </w:rPr>
        <w:t>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10"/>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10"/>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2"/>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color w:val="auto"/>
          <w:highlight w:val="none"/>
        </w:rPr>
      </w:pPr>
      <w:r>
        <w:rPr>
          <w:color w:val="auto"/>
          <w:highlight w:val="none"/>
        </w:rPr>
        <w:t>供应商：</w:t>
      </w:r>
      <w:r>
        <w:rPr>
          <w:color w:val="auto"/>
          <w:highlight w:val="none"/>
          <w:u w:val="single"/>
        </w:rPr>
        <w:t xml:space="preserve">                               </w:t>
      </w:r>
      <w:r>
        <w:rPr>
          <w:color w:val="auto"/>
          <w:highlight w:val="none"/>
        </w:rPr>
        <w:t>（盖单位章）</w:t>
      </w:r>
    </w:p>
    <w:p>
      <w:pPr>
        <w:spacing w:line="440" w:lineRule="exact"/>
        <w:jc w:val="right"/>
        <w:rPr>
          <w:color w:val="auto"/>
          <w:highlight w:val="none"/>
        </w:rPr>
      </w:pPr>
      <w:r>
        <w:rPr>
          <w:color w:val="auto"/>
          <w:highlight w:val="none"/>
        </w:rPr>
        <w:t>法定代表人</w:t>
      </w:r>
      <w:r>
        <w:rPr>
          <w:rFonts w:hint="eastAsia"/>
          <w:color w:val="auto"/>
          <w:highlight w:val="none"/>
        </w:rPr>
        <w:t>/负责人</w:t>
      </w:r>
      <w:r>
        <w:rPr>
          <w:color w:val="auto"/>
          <w:highlight w:val="none"/>
        </w:rPr>
        <w:t>：</w:t>
      </w:r>
      <w:r>
        <w:rPr>
          <w:color w:val="auto"/>
          <w:highlight w:val="none"/>
          <w:u w:val="single"/>
        </w:rPr>
        <w:t xml:space="preserve">                               </w:t>
      </w:r>
      <w:r>
        <w:rPr>
          <w:color w:val="auto"/>
          <w:highlight w:val="none"/>
        </w:rPr>
        <w:t>（签字）</w:t>
      </w:r>
      <w:r>
        <w:rPr>
          <w:color w:val="auto"/>
          <w:highlight w:val="none"/>
          <w:u w:val="single"/>
        </w:rPr>
        <w:t xml:space="preserve">                                     </w:t>
      </w:r>
    </w:p>
    <w:p>
      <w:pPr>
        <w:spacing w:line="440" w:lineRule="exact"/>
        <w:jc w:val="right"/>
        <w:rPr>
          <w:color w:val="auto"/>
          <w:highlight w:val="none"/>
        </w:rPr>
      </w:pPr>
      <w:r>
        <w:rPr>
          <w:color w:val="auto"/>
          <w:highlight w:val="none"/>
        </w:rPr>
        <w:t>委托代理人</w:t>
      </w:r>
      <w:r>
        <w:rPr>
          <w:rFonts w:hint="eastAsia"/>
          <w:color w:val="auto"/>
          <w:highlight w:val="none"/>
          <w:lang w:eastAsia="zh-CN"/>
        </w:rPr>
        <w:t>（</w:t>
      </w:r>
      <w:r>
        <w:rPr>
          <w:rFonts w:hint="eastAsia"/>
          <w:color w:val="auto"/>
          <w:highlight w:val="none"/>
          <w:lang w:val="en-US" w:eastAsia="zh-CN"/>
        </w:rPr>
        <w:t>若有</w:t>
      </w:r>
      <w:r>
        <w:rPr>
          <w:rFonts w:hint="eastAsia"/>
          <w:color w:val="auto"/>
          <w:highlight w:val="none"/>
          <w:lang w:eastAsia="zh-CN"/>
        </w:rPr>
        <w:t>）</w:t>
      </w:r>
      <w:r>
        <w:rPr>
          <w:color w:val="auto"/>
          <w:highlight w:val="none"/>
        </w:rPr>
        <w:t>：</w:t>
      </w:r>
      <w:r>
        <w:rPr>
          <w:color w:val="auto"/>
          <w:highlight w:val="none"/>
          <w:u w:val="single"/>
        </w:rPr>
        <w:t xml:space="preserve">                                   </w:t>
      </w:r>
      <w:r>
        <w:rPr>
          <w:color w:val="auto"/>
          <w:highlight w:val="none"/>
        </w:rPr>
        <w:t xml:space="preserve">（签字） </w:t>
      </w:r>
    </w:p>
    <w:p>
      <w:pPr>
        <w:spacing w:line="440" w:lineRule="exact"/>
        <w:ind w:firstLine="2310" w:firstLineChars="1100"/>
        <w:jc w:val="right"/>
        <w:rPr>
          <w:color w:val="auto"/>
          <w:highlight w:val="none"/>
        </w:rPr>
      </w:pP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center"/>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1．我方已仔细研究了</w:t>
      </w:r>
      <w:r>
        <w:rPr>
          <w:rFonts w:hint="eastAsia" w:asciiTheme="minorEastAsia" w:hAnsiTheme="minorEastAsia" w:eastAsiaTheme="minorEastAsia" w:cstheme="minorEastAsia"/>
          <w:color w:val="auto"/>
          <w:highlight w:val="none"/>
          <w:lang w:val="en-US" w:eastAsia="zh-CN"/>
        </w:rPr>
        <w:t>数字江门网络建设有限公司管理体系认证服务项目采购</w:t>
      </w:r>
      <w:r>
        <w:rPr>
          <w:rFonts w:hint="eastAsia" w:asciiTheme="minorEastAsia" w:hAnsiTheme="minorEastAsia" w:eastAsiaTheme="minorEastAsia" w:cstheme="minorEastAsia"/>
          <w:color w:val="auto"/>
          <w:highlight w:val="none"/>
        </w:rPr>
        <w:t>文件的全部内容，现提交响应文件。包括以下内容：</w:t>
      </w:r>
    </w:p>
    <w:p>
      <w:pPr>
        <w:keepNext w:val="0"/>
        <w:keepLines w:val="0"/>
        <w:pageBreakBefore w:val="0"/>
        <w:widowControl w:val="0"/>
        <w:kinsoku/>
        <w:wordWrap/>
        <w:overflowPunct/>
        <w:topLinePunct w:val="0"/>
        <w:autoSpaceDE/>
        <w:autoSpaceDN/>
        <w:bidi w:val="0"/>
        <w:adjustRightInd/>
        <w:snapToGrid/>
        <w:spacing w:line="360" w:lineRule="auto"/>
        <w:ind w:firstLine="2100" w:firstLineChars="10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2100" w:firstLineChars="10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2100" w:firstLineChars="10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ab/>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（2）我方完全理解贵方无义务必须接受最低报价的响应文件并有权拒绝所有的响应文件；</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（4）我方承诺我方响应文件中递交的文件均为真实、有效的，如有虚假信息，承担相应法律责任；</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2"/>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2"/>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（盖单位章）</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法定代表人/负责人或其委托代理人：</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（签字）</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hint="eastAsia" w:ascii="仿宋" w:hAnsi="仿宋" w:eastAsia="仿宋" w:cs="仿宋"/>
          <w:b/>
          <w:bCs/>
          <w:i/>
          <w:iCs/>
          <w:color w:val="auto"/>
          <w:sz w:val="28"/>
          <w:szCs w:val="28"/>
          <w:highlight w:val="none"/>
          <w:u w:val="double"/>
          <w:lang w:eastAsia="zh-CN"/>
        </w:rPr>
      </w:pPr>
      <w:r>
        <w:rPr>
          <w:rFonts w:hint="eastAsia" w:ascii="仿宋" w:hAnsi="仿宋" w:eastAsia="仿宋" w:cs="仿宋"/>
          <w:b/>
          <w:bCs/>
          <w:i/>
          <w:iCs/>
          <w:color w:val="auto"/>
          <w:sz w:val="28"/>
          <w:szCs w:val="28"/>
          <w:highlight w:val="none"/>
          <w:u w:val="double"/>
        </w:rPr>
        <w:t>请提供相应的资格审查资料，具体要求详见</w:t>
      </w:r>
      <w:r>
        <w:rPr>
          <w:rFonts w:hint="eastAsia" w:ascii="仿宋" w:hAnsi="仿宋" w:eastAsia="仿宋" w:cs="仿宋"/>
          <w:b/>
          <w:bCs/>
          <w:i/>
          <w:iCs/>
          <w:color w:val="auto"/>
          <w:sz w:val="28"/>
          <w:szCs w:val="28"/>
          <w:highlight w:val="none"/>
          <w:u w:val="double"/>
          <w:lang w:eastAsia="zh-CN"/>
        </w:rPr>
        <w:t>“</w:t>
      </w:r>
      <w:r>
        <w:rPr>
          <w:rFonts w:hint="eastAsia" w:ascii="仿宋" w:hAnsi="仿宋" w:eastAsia="仿宋" w:cs="仿宋"/>
          <w:b/>
          <w:bCs/>
          <w:i/>
          <w:iCs/>
          <w:color w:val="auto"/>
          <w:sz w:val="28"/>
          <w:szCs w:val="28"/>
          <w:highlight w:val="none"/>
          <w:u w:val="double"/>
        </w:rPr>
        <w:t>供应商资格要求</w:t>
      </w:r>
      <w:r>
        <w:rPr>
          <w:rFonts w:hint="eastAsia" w:ascii="仿宋" w:hAnsi="仿宋" w:eastAsia="仿宋" w:cs="仿宋"/>
          <w:b/>
          <w:bCs/>
          <w:i/>
          <w:iCs/>
          <w:color w:val="auto"/>
          <w:sz w:val="28"/>
          <w:szCs w:val="28"/>
          <w:highlight w:val="none"/>
          <w:u w:val="double"/>
          <w:lang w:eastAsia="zh-CN"/>
        </w:rPr>
        <w:t>”</w:t>
      </w: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八</w:t>
      </w:r>
      <w:r>
        <w:rPr>
          <w:rFonts w:hint="eastAsia" w:ascii="仿宋" w:hAnsi="仿宋" w:eastAsia="仿宋" w:cs="仿宋"/>
          <w:b/>
          <w:bCs/>
          <w:i/>
          <w:iCs/>
          <w:color w:val="auto"/>
          <w:sz w:val="28"/>
          <w:szCs w:val="28"/>
          <w:highlight w:val="none"/>
          <w:u w:val="double"/>
        </w:rPr>
        <w:t>条采购需求技术方案</w:t>
      </w:r>
    </w:p>
    <w:p>
      <w:pPr>
        <w:pStyle w:val="2"/>
        <w:ind w:left="420"/>
        <w:rPr>
          <w:rFonts w:ascii="仿宋" w:hAnsi="仿宋" w:eastAsia="仿宋" w:cs="仿宋"/>
          <w:b/>
          <w:bCs/>
          <w:i/>
          <w:iCs/>
          <w:color w:val="auto"/>
          <w:sz w:val="28"/>
          <w:szCs w:val="28"/>
          <w:highlight w:val="none"/>
          <w:u w:val="doubl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7"/>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200" w:hangingChars="5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val="en-US" w:eastAsia="zh-CN"/>
        </w:rPr>
        <w:t>数字江门网络建设有限公司管理体系认证服务项目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200" w:hangingChars="5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JYCG2022010</w:t>
      </w:r>
    </w:p>
    <w:p>
      <w:pPr>
        <w:pStyle w:val="5"/>
        <w:spacing w:after="156" w:afterLines="50" w:line="400" w:lineRule="exact"/>
        <w:ind w:firstLine="240" w:firstLineChars="100"/>
        <w:rPr>
          <w:rFonts w:hint="eastAsia" w:ascii="宋体" w:hAnsi="宋体" w:eastAsia="宋体" w:cs="宋体"/>
          <w:color w:val="auto"/>
          <w:kern w:val="0"/>
          <w:sz w:val="24"/>
          <w:szCs w:val="24"/>
          <w:highlight w:val="none"/>
          <w:lang w:val="en-US" w:eastAsia="zh-CN"/>
        </w:rPr>
      </w:pPr>
    </w:p>
    <w:tbl>
      <w:tblPr>
        <w:tblStyle w:val="10"/>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供应商名称</w:t>
            </w: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含税总价（元</w:t>
            </w:r>
            <w:r>
              <w:rPr>
                <w:rFonts w:hint="eastAsia" w:asciiTheme="minorEastAsia" w:hAnsiTheme="minorEastAsia" w:cstheme="minorEastAsia"/>
                <w:color w:val="auto"/>
                <w:kern w:val="0"/>
                <w:sz w:val="24"/>
                <w:szCs w:val="24"/>
                <w:highlight w:val="none"/>
                <w:lang w:val="en-US" w:eastAsia="zh-CN"/>
              </w:rPr>
              <w:t>人民币</w:t>
            </w:r>
            <w:r>
              <w:rPr>
                <w:rFonts w:hint="eastAsia" w:asciiTheme="minorEastAsia" w:hAnsiTheme="minorEastAsia" w:eastAsiaTheme="minorEastAsia" w:cstheme="minorEastAsia"/>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Theme="minorEastAsia" w:hAnsiTheme="minorEastAsia" w:eastAsiaTheme="minorEastAsia" w:cstheme="minorEastAsia"/>
                <w:color w:val="auto"/>
                <w:kern w:val="0"/>
                <w:sz w:val="24"/>
                <w:szCs w:val="24"/>
                <w:highlight w:val="none"/>
              </w:rPr>
            </w:pP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宋体" w:hAnsi="宋体"/>
                <w:i/>
                <w:iCs/>
                <w:color w:val="auto"/>
                <w:sz w:val="24"/>
                <w:szCs w:val="24"/>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Theme="minorEastAsia" w:hAnsiTheme="minorEastAsia" w:eastAsiaTheme="minorEastAsia" w:cstheme="minorEastAsia"/>
                <w:color w:val="auto"/>
                <w:kern w:val="0"/>
                <w:sz w:val="24"/>
                <w:szCs w:val="24"/>
                <w:highlight w:val="none"/>
              </w:rPr>
            </w:pP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宋体" w:hAnsi="宋体"/>
                <w:i/>
                <w:iCs/>
                <w:color w:val="auto"/>
                <w:sz w:val="24"/>
                <w:szCs w:val="24"/>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注明</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1.本项目设有最高限价为含税总报价不能超出最高限价，供应商报价超出最高限价作否决</w:t>
      </w:r>
      <w:r>
        <w:rPr>
          <w:rFonts w:hint="eastAsia" w:ascii="宋体" w:hAnsi="宋体" w:eastAsia="宋体" w:cs="宋体"/>
          <w:color w:val="auto"/>
          <w:sz w:val="24"/>
          <w:szCs w:val="24"/>
          <w:highlight w:val="none"/>
          <w:lang w:val="en-US" w:eastAsia="zh-CN"/>
        </w:rPr>
        <w:t>报价</w:t>
      </w:r>
      <w:r>
        <w:rPr>
          <w:rFonts w:hint="eastAsia" w:ascii="宋体" w:hAnsi="宋体" w:eastAsia="宋体" w:cs="宋体"/>
          <w:color w:val="auto"/>
          <w:sz w:val="24"/>
          <w:szCs w:val="24"/>
          <w:highlight w:val="none"/>
          <w:lang w:eastAsia="zh-CN"/>
        </w:rPr>
        <w:t>处理。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2.报价应包括所购买的相应的服务、税费及所涉及的一切费用。</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lang w:val="en-US" w:eastAsia="zh-CN"/>
        </w:rPr>
        <w:t>供应商应向采购人提供增值税专用发票。</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.供应商应对采购文件要求报价的所有内容进行报价，未报价部分视为供应商让利或含在其他报价子目中，合同价款不予调整。</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5.本项目所填</w:t>
      </w:r>
      <w:r>
        <w:rPr>
          <w:rFonts w:hint="eastAsia" w:ascii="宋体" w:hAnsi="宋体" w:eastAsia="宋体" w:cs="宋体"/>
          <w:color w:val="auto"/>
          <w:sz w:val="24"/>
          <w:szCs w:val="24"/>
          <w:highlight w:val="none"/>
          <w:lang w:val="en-US" w:eastAsia="zh-CN"/>
        </w:rPr>
        <w:t>报报价</w:t>
      </w:r>
      <w:r>
        <w:rPr>
          <w:rFonts w:hint="eastAsia" w:ascii="宋体" w:hAnsi="宋体" w:eastAsia="宋体" w:cs="宋体"/>
          <w:color w:val="auto"/>
          <w:sz w:val="24"/>
          <w:szCs w:val="24"/>
          <w:highlight w:val="none"/>
          <w:lang w:eastAsia="zh-CN"/>
        </w:rPr>
        <w:t>精确到小数点后两位，小数点后两位无论大小均舍去，以供应商所报含税总价来计算价格分。如果文字大写表示的数据与小写数字表示的有差别，则以文字大写表示的数据为准。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供应商（盖章）：</w:t>
      </w:r>
    </w:p>
    <w:p>
      <w:pPr>
        <w:pStyle w:val="5"/>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法定代表人或授权代表人（签字）：      </w:t>
      </w:r>
    </w:p>
    <w:p>
      <w:pPr>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日期 ：    年     月     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7"/>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5.如果“应答情况”为“不满足”或是“部分满足”，请在“谈判文件的合同条款”列明具体条款。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r>
        <w:rPr>
          <w:rFonts w:hint="eastAsia" w:ascii="宋体" w:hAnsi="宋体" w:eastAsia="宋体" w:cs="宋体"/>
          <w:b w:val="0"/>
          <w:bCs w:val="0"/>
          <w:color w:val="auto"/>
          <w:kern w:val="0"/>
          <w:sz w:val="32"/>
          <w:szCs w:val="32"/>
          <w:highlight w:val="none"/>
          <w:lang w:val="en-US" w:eastAsia="zh-CN" w:bidi="ar-SA"/>
        </w:rPr>
        <w:t>九、合同模版</w:t>
      </w:r>
    </w:p>
    <w:p>
      <w:pPr>
        <w:jc w:val="center"/>
        <w:outlineLvl w:val="0"/>
        <w:rPr>
          <w:rFonts w:hint="eastAsia" w:ascii="黑体" w:hAnsi="黑体" w:eastAsia="黑体" w:cs="黑体"/>
          <w:b/>
          <w:bCs/>
          <w:sz w:val="84"/>
          <w:szCs w:val="84"/>
          <w:lang w:eastAsia="zh-CN"/>
        </w:rPr>
      </w:pPr>
    </w:p>
    <w:p>
      <w:pPr>
        <w:jc w:val="center"/>
        <w:outlineLvl w:val="0"/>
        <w:rPr>
          <w:rFonts w:hint="eastAsia" w:ascii="黑体" w:hAnsi="黑体" w:eastAsia="黑体" w:cs="黑体"/>
          <w:b/>
          <w:bCs/>
          <w:sz w:val="84"/>
          <w:szCs w:val="84"/>
          <w:lang w:eastAsia="zh-CN"/>
        </w:rPr>
      </w:pPr>
    </w:p>
    <w:p>
      <w:pPr>
        <w:pStyle w:val="2"/>
        <w:rPr>
          <w:rFonts w:hint="eastAsia"/>
          <w:lang w:eastAsia="zh-CN"/>
        </w:rPr>
      </w:pPr>
    </w:p>
    <w:p>
      <w:pPr>
        <w:jc w:val="center"/>
        <w:outlineLvl w:val="0"/>
        <w:rPr>
          <w:rFonts w:hint="eastAsia" w:ascii="黑体" w:hAnsi="黑体" w:eastAsia="黑体" w:cs="黑体"/>
          <w:b/>
          <w:bCs/>
          <w:sz w:val="84"/>
          <w:szCs w:val="84"/>
          <w:lang w:eastAsia="zh-CN"/>
        </w:rPr>
      </w:pPr>
      <w:r>
        <w:rPr>
          <w:rFonts w:hint="eastAsia" w:ascii="黑体" w:hAnsi="黑体" w:eastAsia="黑体" w:cs="黑体"/>
          <w:b/>
          <w:bCs/>
          <w:sz w:val="84"/>
          <w:szCs w:val="84"/>
          <w:lang w:eastAsia="zh-CN"/>
        </w:rPr>
        <w:t>技术服务合同</w:t>
      </w:r>
    </w:p>
    <w:p>
      <w:pPr>
        <w:pStyle w:val="2"/>
        <w:ind w:left="0" w:leftChars="0" w:firstLine="0" w:firstLineChars="0"/>
        <w:rPr>
          <w:rFonts w:hint="eastAsia" w:ascii="黑体" w:hAnsi="黑体" w:eastAsia="黑体" w:cs="黑体"/>
          <w:b/>
          <w:bCs/>
          <w:sz w:val="84"/>
          <w:szCs w:val="84"/>
          <w:lang w:eastAsia="zh-CN"/>
        </w:rPr>
      </w:pPr>
    </w:p>
    <w:p>
      <w:pPr>
        <w:rPr>
          <w:rFonts w:hint="eastAsia" w:ascii="黑体" w:hAnsi="黑体" w:eastAsia="黑体" w:cs="黑体"/>
          <w:b/>
          <w:bCs/>
          <w:sz w:val="84"/>
          <w:szCs w:val="84"/>
          <w:lang w:eastAsia="zh-CN"/>
        </w:rPr>
      </w:pPr>
    </w:p>
    <w:p>
      <w:pPr>
        <w:pStyle w:val="2"/>
        <w:rPr>
          <w:rFonts w:hint="eastAsia" w:ascii="黑体" w:hAnsi="黑体" w:eastAsia="黑体" w:cs="黑体"/>
          <w:b/>
          <w:bCs/>
          <w:sz w:val="84"/>
          <w:szCs w:val="84"/>
          <w:lang w:eastAsia="zh-CN"/>
        </w:rPr>
      </w:pPr>
    </w:p>
    <w:p>
      <w:pPr>
        <w:rPr>
          <w:rFonts w:hint="eastAsia" w:ascii="黑体" w:hAnsi="黑体" w:eastAsia="黑体" w:cs="黑体"/>
          <w:b/>
          <w:bCs/>
          <w:sz w:val="84"/>
          <w:szCs w:val="84"/>
          <w:lang w:eastAsia="zh-CN"/>
        </w:rPr>
      </w:pPr>
    </w:p>
    <w:p>
      <w:pPr>
        <w:pStyle w:val="2"/>
        <w:rPr>
          <w:rFonts w:hint="eastAsia" w:ascii="黑体" w:hAnsi="黑体" w:eastAsia="黑体" w:cs="黑体"/>
          <w:b/>
          <w:bCs/>
          <w:sz w:val="84"/>
          <w:szCs w:val="84"/>
          <w:lang w:eastAsia="zh-CN"/>
        </w:rPr>
      </w:pPr>
    </w:p>
    <w:p>
      <w:pPr>
        <w:spacing w:line="360" w:lineRule="auto"/>
        <w:jc w:val="both"/>
        <w:rPr>
          <w:rFonts w:hint="eastAsia" w:ascii="宋体" w:hAnsi="宋体" w:eastAsia="宋体" w:cs="宋体"/>
          <w:b/>
          <w:bCs/>
          <w:sz w:val="28"/>
          <w:szCs w:val="28"/>
          <w:lang w:val="en-US" w:eastAsia="zh-CN"/>
        </w:rPr>
      </w:pPr>
      <w:r>
        <w:rPr>
          <w:rFonts w:hint="eastAsia" w:ascii="宋体" w:hAnsi="宋体" w:eastAsia="宋体" w:cs="宋体"/>
          <w:b/>
          <w:bCs/>
          <w:sz w:val="28"/>
          <w:szCs w:val="28"/>
          <w:lang w:eastAsia="zh-CN"/>
        </w:rPr>
        <w:t>项目名称：</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w w:val="80"/>
          <w:sz w:val="28"/>
          <w:szCs w:val="28"/>
          <w:u w:val="single"/>
          <w:lang w:val="en-US" w:eastAsia="zh-CN"/>
        </w:rPr>
        <w:t>数字江门网络建设有限公司管理体系认证服务项目</w:t>
      </w:r>
      <w:r>
        <w:rPr>
          <w:rFonts w:hint="eastAsia" w:ascii="宋体" w:hAnsi="宋体" w:eastAsia="宋体" w:cs="宋体"/>
          <w:b/>
          <w:bCs/>
          <w:sz w:val="28"/>
          <w:szCs w:val="28"/>
          <w:u w:val="single"/>
          <w:lang w:val="en-US" w:eastAsia="zh-CN"/>
        </w:rPr>
        <w:t xml:space="preserve"> </w:t>
      </w:r>
    </w:p>
    <w:p>
      <w:pPr>
        <w:spacing w:line="360" w:lineRule="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甲方（委托方）全称：</w:t>
      </w:r>
      <w:r>
        <w:rPr>
          <w:rFonts w:hint="eastAsia" w:ascii="宋体" w:hAnsi="宋体" w:eastAsia="宋体" w:cs="宋体"/>
          <w:b/>
          <w:bCs/>
          <w:sz w:val="28"/>
          <w:szCs w:val="28"/>
          <w:u w:val="single"/>
          <w:lang w:val="en-US" w:eastAsia="zh-CN"/>
        </w:rPr>
        <w:t xml:space="preserve"> 数字江门网络建设有限公司   </w:t>
      </w:r>
    </w:p>
    <w:p>
      <w:pPr>
        <w:spacing w:line="360" w:lineRule="auto"/>
        <w:rPr>
          <w:rFonts w:hint="eastAsia" w:ascii="宋体" w:hAnsi="宋体" w:eastAsia="宋体" w:cs="宋体"/>
          <w:b/>
          <w:bCs/>
          <w:sz w:val="28"/>
          <w:szCs w:val="28"/>
          <w:u w:val="single"/>
          <w:lang w:val="en-US" w:eastAsia="zh-CN"/>
        </w:rPr>
      </w:pPr>
      <w:r>
        <w:rPr>
          <w:rFonts w:hint="eastAsia" w:ascii="宋体" w:hAnsi="宋体" w:eastAsia="宋体" w:cs="宋体"/>
          <w:b/>
          <w:bCs/>
          <w:sz w:val="28"/>
          <w:szCs w:val="28"/>
          <w:lang w:val="en-US" w:eastAsia="zh-CN"/>
        </w:rPr>
        <w:t>乙方（受托方）全称：</w:t>
      </w:r>
      <w:r>
        <w:rPr>
          <w:rFonts w:hint="eastAsia" w:ascii="宋体" w:hAnsi="宋体" w:eastAsia="宋体" w:cs="宋体"/>
          <w:b/>
          <w:bCs/>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color w:val="000000"/>
          <w:sz w:val="21"/>
        </w:rPr>
      </w:pPr>
      <w:r>
        <w:rPr>
          <w:color w:val="auto"/>
          <w:highlight w:val="none"/>
        </w:rPr>
        <w:br w:type="page"/>
      </w:r>
      <w:r>
        <w:rPr>
          <w:rFonts w:hint="eastAsia" w:ascii="宋体" w:hAnsi="宋体" w:eastAsia="宋体" w:cs="宋体"/>
          <w:color w:val="000000"/>
          <w:sz w:val="21"/>
        </w:rPr>
        <w:t>经甲乙双方</w:t>
      </w:r>
      <w:r>
        <w:rPr>
          <w:rFonts w:hint="eastAsia" w:ascii="宋体" w:hAnsi="宋体" w:eastAsia="宋体" w:cs="宋体"/>
          <w:color w:val="000000"/>
          <w:sz w:val="21"/>
          <w:lang w:eastAsia="zh-CN"/>
        </w:rPr>
        <w:t>平等友好</w:t>
      </w:r>
      <w:r>
        <w:rPr>
          <w:rFonts w:hint="eastAsia" w:ascii="宋体" w:hAnsi="宋体" w:eastAsia="宋体" w:cs="宋体"/>
          <w:color w:val="000000"/>
          <w:sz w:val="21"/>
        </w:rPr>
        <w:t>协商，乙方为甲</w:t>
      </w:r>
      <w:r>
        <w:rPr>
          <w:rFonts w:hint="eastAsia" w:ascii="宋体" w:hAnsi="宋体" w:eastAsia="宋体" w:cs="宋体"/>
          <w:color w:val="auto"/>
          <w:sz w:val="21"/>
        </w:rPr>
        <w:t>方提供</w:t>
      </w:r>
      <w:r>
        <w:rPr>
          <w:rFonts w:hint="eastAsia" w:ascii="宋体" w:hAnsi="宋体" w:eastAsia="宋体" w:cs="宋体"/>
          <w:color w:val="auto"/>
          <w:sz w:val="21"/>
          <w:lang w:eastAsia="zh-CN"/>
        </w:rPr>
        <w:t>管理体系咨询</w:t>
      </w:r>
      <w:r>
        <w:rPr>
          <w:rFonts w:hint="eastAsia" w:ascii="宋体" w:hAnsi="宋体" w:eastAsia="宋体" w:cs="宋体"/>
          <w:color w:val="auto"/>
          <w:sz w:val="21"/>
          <w:lang w:val="en-US" w:eastAsia="zh-CN"/>
        </w:rPr>
        <w:t>辅导</w:t>
      </w:r>
      <w:r>
        <w:rPr>
          <w:rFonts w:hint="eastAsia" w:ascii="宋体" w:hAnsi="宋体" w:eastAsia="宋体" w:cs="宋体"/>
          <w:color w:val="000000"/>
          <w:sz w:val="21"/>
          <w:lang w:val="en-US" w:eastAsia="zh-CN"/>
        </w:rPr>
        <w:t>服务</w:t>
      </w:r>
      <w:r>
        <w:rPr>
          <w:rFonts w:hint="eastAsia" w:ascii="宋体" w:hAnsi="宋体" w:eastAsia="宋体" w:cs="宋体"/>
          <w:color w:val="000000"/>
          <w:sz w:val="21"/>
        </w:rPr>
        <w:t>。双方按照《中华人民共和国</w:t>
      </w:r>
      <w:r>
        <w:rPr>
          <w:rFonts w:hint="eastAsia" w:ascii="宋体" w:hAnsi="宋体" w:eastAsia="宋体" w:cs="宋体"/>
          <w:color w:val="000000"/>
          <w:sz w:val="21"/>
          <w:lang w:val="en-US" w:eastAsia="zh-Hans"/>
        </w:rPr>
        <w:t>民法典</w:t>
      </w:r>
      <w:r>
        <w:rPr>
          <w:rFonts w:hint="eastAsia" w:ascii="宋体" w:hAnsi="宋体" w:eastAsia="宋体" w:cs="宋体"/>
          <w:color w:val="000000"/>
          <w:sz w:val="21"/>
        </w:rPr>
        <w:t>》及有关规定，签订本合同，共同遵照执行。</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认证内容</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FF0000"/>
          <w:sz w:val="21"/>
          <w:lang w:val="en-US" w:eastAsia="zh-CN"/>
        </w:rPr>
      </w:pPr>
      <w:r>
        <w:rPr>
          <w:rFonts w:hint="eastAsia" w:ascii="宋体" w:hAnsi="宋体" w:eastAsia="宋体" w:cs="宋体"/>
          <w:b w:val="0"/>
          <w:bCs/>
          <w:color w:val="auto"/>
          <w:sz w:val="21"/>
          <w:lang w:val="en-US" w:eastAsia="zh-CN"/>
        </w:rPr>
        <w:t>乙方指导甲方按照</w:t>
      </w:r>
      <w:r>
        <w:rPr>
          <w:rFonts w:hint="eastAsia" w:ascii="宋体" w:hAnsi="宋体" w:eastAsia="宋体" w:cs="宋体"/>
          <w:b w:val="0"/>
          <w:bCs/>
          <w:color w:val="auto"/>
          <w:sz w:val="21"/>
          <w:u w:val="single"/>
          <w:lang w:val="en-US" w:eastAsia="zh-CN"/>
        </w:rPr>
        <w:t xml:space="preserve"> </w:t>
      </w:r>
      <w:r>
        <w:rPr>
          <w:rFonts w:hint="eastAsia" w:ascii="宋体" w:hAnsi="宋体" w:eastAsia="宋体" w:cs="宋体"/>
          <w:color w:val="auto"/>
          <w:sz w:val="21"/>
          <w:u w:val="single"/>
          <w:lang w:eastAsia="zh-CN"/>
        </w:rPr>
        <w:t>ISO9001:2015质量管理体系、ISO14001:2015环境管理体系、ISO45001:2018职业健康安全管理体系</w:t>
      </w:r>
      <w:r>
        <w:rPr>
          <w:rFonts w:hint="eastAsia" w:ascii="宋体" w:hAnsi="宋体" w:eastAsia="宋体" w:cs="宋体"/>
          <w:color w:val="auto"/>
          <w:sz w:val="21"/>
          <w:u w:val="single"/>
          <w:lang w:val="en-US" w:eastAsia="zh-CN"/>
        </w:rPr>
        <w:t>（简称QES体系）</w:t>
      </w:r>
      <w:r>
        <w:rPr>
          <w:rFonts w:hint="eastAsia" w:ascii="宋体" w:hAnsi="宋体" w:eastAsia="宋体" w:cs="宋体"/>
          <w:color w:val="auto"/>
          <w:sz w:val="21"/>
          <w:u w:val="single"/>
          <w:lang w:eastAsia="zh-CN"/>
        </w:rPr>
        <w:t>、</w:t>
      </w:r>
      <w:r>
        <w:rPr>
          <w:rFonts w:hint="eastAsia" w:ascii="宋体" w:hAnsi="宋体" w:eastAsia="宋体" w:cs="宋体"/>
          <w:color w:val="auto"/>
          <w:sz w:val="21"/>
          <w:u w:val="single"/>
          <w:lang w:val="en-US" w:eastAsia="zh-CN"/>
        </w:rPr>
        <w:t>ISO20000信息技术服务管理体系、ISO27001信息安全管理体系</w:t>
      </w:r>
      <w:r>
        <w:rPr>
          <w:rFonts w:hint="eastAsia" w:ascii="宋体" w:hAnsi="宋体" w:eastAsia="宋体" w:cs="宋体"/>
          <w:color w:val="auto"/>
          <w:sz w:val="21"/>
          <w:u w:val="single"/>
          <w:lang w:eastAsia="zh-CN"/>
        </w:rPr>
        <w:t>及</w:t>
      </w:r>
      <w:r>
        <w:rPr>
          <w:rFonts w:hint="eastAsia" w:ascii="宋体" w:hAnsi="宋体" w:eastAsia="宋体" w:cs="宋体"/>
          <w:color w:val="auto"/>
          <w:sz w:val="21"/>
          <w:u w:val="single"/>
          <w:lang w:val="en-US" w:eastAsia="zh-CN"/>
        </w:rPr>
        <w:t>ISO27701隐私信息管理体系</w:t>
      </w:r>
      <w:r>
        <w:rPr>
          <w:rFonts w:hint="eastAsia" w:ascii="宋体" w:hAnsi="宋体" w:eastAsia="宋体" w:cs="宋体"/>
          <w:b w:val="0"/>
          <w:bCs/>
          <w:color w:val="auto"/>
          <w:sz w:val="21"/>
          <w:lang w:val="en-US" w:eastAsia="zh-CN"/>
        </w:rPr>
        <w:t>标准，建立ISO多体系融合的管理体系，并依据上述标准指派</w:t>
      </w:r>
      <w:r>
        <w:rPr>
          <w:rFonts w:hint="eastAsia" w:ascii="宋体" w:hAnsi="宋体" w:eastAsia="宋体" w:cs="宋体"/>
          <w:b w:val="0"/>
          <w:bCs/>
          <w:color w:val="auto"/>
          <w:sz w:val="21"/>
          <w:u w:val="single"/>
          <w:lang w:val="en-US" w:eastAsia="zh-CN"/>
        </w:rPr>
        <w:t xml:space="preserve">              公司</w:t>
      </w:r>
      <w:r>
        <w:rPr>
          <w:rFonts w:hint="eastAsia" w:ascii="宋体" w:hAnsi="宋体" w:eastAsia="宋体" w:cs="宋体"/>
          <w:b w:val="0"/>
          <w:bCs/>
          <w:color w:val="auto"/>
          <w:sz w:val="21"/>
          <w:lang w:val="en-US" w:eastAsia="zh-CN"/>
        </w:rPr>
        <w:t>对甲方提供认证辅导，</w:t>
      </w:r>
      <w:r>
        <w:rPr>
          <w:rFonts w:hint="eastAsia" w:ascii="宋体" w:hAnsi="宋体" w:eastAsia="宋体" w:cs="宋体"/>
          <w:b w:val="0"/>
          <w:bCs/>
          <w:color w:val="auto"/>
          <w:sz w:val="21"/>
          <w:u w:val="single"/>
          <w:lang w:val="en-US" w:eastAsia="zh-CN"/>
        </w:rPr>
        <w:t xml:space="preserve">               公司</w:t>
      </w:r>
      <w:r>
        <w:rPr>
          <w:rFonts w:hint="eastAsia" w:ascii="宋体" w:hAnsi="宋体" w:eastAsia="宋体" w:cs="宋体"/>
          <w:b w:val="0"/>
          <w:bCs/>
          <w:color w:val="auto"/>
          <w:sz w:val="21"/>
          <w:lang w:val="en-US" w:eastAsia="zh-CN"/>
        </w:rPr>
        <w:t>第三方认证机构对甲方提供认证审核，乙方协助甲方通过现场审核，取得上述6个管理体系的认证证书。</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FF0000"/>
          <w:sz w:val="21"/>
          <w:lang w:val="en-US" w:eastAsia="zh-CN"/>
        </w:rPr>
      </w:pPr>
      <w:r>
        <w:rPr>
          <w:rFonts w:hint="eastAsia" w:ascii="宋体" w:hAnsi="宋体" w:eastAsia="宋体" w:cs="宋体"/>
          <w:b w:val="0"/>
          <w:bCs/>
          <w:color w:val="auto"/>
          <w:sz w:val="21"/>
          <w:lang w:val="en-US" w:eastAsia="zh-CN"/>
        </w:rPr>
        <w:t>甲方管理体系覆盖的服务范围：</w:t>
      </w:r>
      <w:r>
        <w:rPr>
          <w:rFonts w:hint="eastAsia" w:ascii="宋体" w:hAnsi="宋体" w:eastAsia="宋体" w:cs="宋体"/>
          <w:b w:val="0"/>
          <w:bCs/>
          <w:color w:val="auto"/>
          <w:sz w:val="21"/>
          <w:u w:val="none"/>
          <w:lang w:val="en-US" w:eastAsia="zh-CN"/>
        </w:rPr>
        <w:t xml:space="preserve"> 资质范围内的计算机及各类信息系统的软硬件设计、开发、咨询、销售、运营和维护；数据库及计算机网络服务；信息系统集成服务。</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03" w:firstLineChars="0"/>
        <w:textAlignment w:val="auto"/>
        <w:outlineLvl w:val="9"/>
        <w:rPr>
          <w:rFonts w:hint="eastAsia" w:ascii="宋体" w:hAnsi="宋体" w:eastAsia="宋体" w:cs="宋体"/>
          <w:b w:val="0"/>
          <w:bCs/>
          <w:color w:val="auto"/>
          <w:sz w:val="21"/>
          <w:lang w:val="en-US" w:eastAsia="zh-CN"/>
        </w:rPr>
      </w:pPr>
      <w:r>
        <w:rPr>
          <w:rFonts w:hint="eastAsia" w:ascii="宋体" w:hAnsi="宋体" w:eastAsia="宋体" w:cs="宋体"/>
          <w:b w:val="0"/>
          <w:bCs/>
          <w:color w:val="auto"/>
          <w:sz w:val="21"/>
          <w:lang w:val="en-US" w:eastAsia="zh-CN"/>
        </w:rPr>
        <w:t>甲方管理体系覆盖的人数：</w:t>
      </w:r>
      <w:r>
        <w:rPr>
          <w:rFonts w:hint="eastAsia" w:ascii="宋体" w:hAnsi="宋体" w:eastAsia="宋体" w:cs="宋体"/>
          <w:b w:val="0"/>
          <w:bCs/>
          <w:color w:val="auto"/>
          <w:sz w:val="21"/>
          <w:u w:val="single"/>
          <w:lang w:val="en-US" w:eastAsia="zh-CN"/>
        </w:rPr>
        <w:t xml:space="preserve">  36  </w:t>
      </w:r>
      <w:r>
        <w:rPr>
          <w:rFonts w:hint="eastAsia" w:ascii="宋体" w:hAnsi="宋体" w:eastAsia="宋体" w:cs="宋体"/>
          <w:b w:val="0"/>
          <w:bCs/>
          <w:color w:val="auto"/>
          <w:sz w:val="21"/>
          <w:u w:val="none"/>
          <w:lang w:val="en-US" w:eastAsia="zh-CN"/>
        </w:rPr>
        <w:t>人。</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03" w:firstLineChars="0"/>
        <w:textAlignment w:val="auto"/>
        <w:outlineLvl w:val="9"/>
        <w:rPr>
          <w:rFonts w:hint="eastAsia" w:ascii="宋体" w:hAnsi="宋体" w:eastAsia="宋体" w:cs="宋体"/>
          <w:b w:val="0"/>
          <w:bCs/>
          <w:color w:val="auto"/>
          <w:sz w:val="21"/>
          <w:lang w:val="en-US" w:eastAsia="zh-CN"/>
        </w:rPr>
      </w:pPr>
      <w:r>
        <w:rPr>
          <w:rFonts w:hint="eastAsia" w:ascii="宋体" w:hAnsi="宋体" w:eastAsia="宋体" w:cs="宋体"/>
          <w:b w:val="0"/>
          <w:bCs/>
          <w:color w:val="auto"/>
          <w:sz w:val="21"/>
          <w:u w:val="none"/>
          <w:lang w:val="en-US" w:eastAsia="zh-CN"/>
        </w:rPr>
        <w:t>服务内容：</w:t>
      </w:r>
    </w:p>
    <w:tbl>
      <w:tblPr>
        <w:tblStyle w:val="10"/>
        <w:tblpPr w:leftFromText="180" w:rightFromText="180" w:vertAnchor="text" w:horzAnchor="page" w:tblpX="2073" w:tblpY="55"/>
        <w:tblOverlap w:val="never"/>
        <w:tblW w:w="8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70"/>
        <w:gridCol w:w="2175"/>
        <w:gridCol w:w="49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名称</w:t>
            </w:r>
          </w:p>
        </w:tc>
        <w:tc>
          <w:tcPr>
            <w:tcW w:w="4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体系诊断研究</w:t>
            </w:r>
          </w:p>
        </w:tc>
        <w:tc>
          <w:tcPr>
            <w:tcW w:w="4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根据甲方需求，进行管理现状分析及体系诊断。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体系设计</w:t>
            </w:r>
          </w:p>
        </w:tc>
        <w:tc>
          <w:tcPr>
            <w:tcW w:w="4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建立公司质量方针和目标，设计组织架构及体系文件架构。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sz w:val="21"/>
                <w:szCs w:val="21"/>
                <w:u w:val="none"/>
                <w:lang w:val="en-US" w:eastAsia="zh-CN"/>
              </w:rPr>
              <w:t>体系培训服务</w:t>
            </w:r>
          </w:p>
        </w:tc>
        <w:tc>
          <w:tcPr>
            <w:tcW w:w="4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结合体系诊断结果及公司运营情况，提供</w:t>
            </w:r>
            <w:r>
              <w:rPr>
                <w:rFonts w:hint="eastAsia" w:ascii="宋体" w:hAnsi="宋体" w:eastAsia="宋体" w:cs="宋体"/>
                <w:i w:val="0"/>
                <w:iCs w:val="0"/>
                <w:color w:val="000000"/>
                <w:sz w:val="21"/>
                <w:szCs w:val="21"/>
                <w:u w:val="none"/>
              </w:rPr>
              <w:t>体系标准的宣贯培训、管理体系文件培训</w:t>
            </w:r>
            <w:r>
              <w:rPr>
                <w:rFonts w:hint="eastAsia" w:ascii="宋体" w:hAnsi="宋体" w:eastAsia="宋体" w:cs="宋体"/>
                <w:i w:val="0"/>
                <w:iCs w:val="0"/>
                <w:color w:val="000000"/>
                <w:sz w:val="21"/>
                <w:szCs w:val="21"/>
                <w:u w:val="none"/>
                <w:lang w:eastAsia="zh-CN"/>
              </w:rPr>
              <w:t>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5"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体系建立</w:t>
            </w:r>
          </w:p>
        </w:tc>
        <w:tc>
          <w:tcPr>
            <w:tcW w:w="4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eastAsia="zh-CN"/>
              </w:rPr>
              <w:t>建立融合性管理体系文件，现场辅导第三、四层次体系文件编写；审查修订文件；文件审批和发布。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体系运行实施</w:t>
            </w:r>
          </w:p>
        </w:tc>
        <w:tc>
          <w:tcPr>
            <w:tcW w:w="4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 xml:space="preserve">指导实施与运行管理体系，组织内审与管理评审。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体系评价与改善</w:t>
            </w:r>
          </w:p>
        </w:tc>
        <w:tc>
          <w:tcPr>
            <w:tcW w:w="4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在审核前进行体系符合性审核及纠正措施的监督。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eastAsia="zh-CN"/>
              </w:rPr>
              <w:t>评审认证</w:t>
            </w:r>
          </w:p>
        </w:tc>
        <w:tc>
          <w:tcPr>
            <w:tcW w:w="4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认证准备培训，认证过程现场陪审，协助解决出现的不合格，指导不合格的现场纠正。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8</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评审获证</w:t>
            </w:r>
          </w:p>
        </w:tc>
        <w:tc>
          <w:tcPr>
            <w:tcW w:w="4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ISO9001:2015质量管理体系、ISO14001:2015环境管理体系、ISO45001:2018职业健康安全管理体系、ISO20000信息技术服务管理体系、ISO27001信息安全管理体系及ISO27701隐私信息管理体系</w:t>
            </w:r>
          </w:p>
        </w:tc>
      </w:tr>
    </w:tbl>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履行期限及地点：</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000000"/>
          <w:sz w:val="21"/>
          <w:lang w:val="en-US" w:eastAsia="zh-CN"/>
        </w:rPr>
      </w:pPr>
      <w:r>
        <w:rPr>
          <w:rFonts w:hint="eastAsia" w:ascii="宋体" w:hAnsi="宋体" w:eastAsia="宋体" w:cs="宋体"/>
          <w:b w:val="0"/>
          <w:bCs/>
          <w:color w:val="000000"/>
          <w:sz w:val="21"/>
          <w:lang w:val="en-US" w:eastAsia="zh-CN"/>
        </w:rPr>
        <w:t>本合同自甲乙双方签字之日起开始生效，提供一年服务期，服务期内完成服务内容中管理体系认证服务，取得证书时结束</w:t>
      </w:r>
      <w:r>
        <w:rPr>
          <w:rFonts w:hint="eastAsia" w:ascii="宋体" w:hAnsi="宋体" w:eastAsia="宋体" w:cs="宋体"/>
          <w:b w:val="0"/>
          <w:bCs/>
          <w:color w:val="000000"/>
          <w:sz w:val="21"/>
          <w:u w:val="none"/>
          <w:lang w:val="en-US" w:eastAsia="zh-CN"/>
        </w:rPr>
        <w:t>。</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000000"/>
          <w:sz w:val="21"/>
          <w:lang w:val="en-US" w:eastAsia="zh-CN"/>
        </w:rPr>
      </w:pPr>
      <w:r>
        <w:rPr>
          <w:rFonts w:hint="eastAsia" w:ascii="宋体" w:hAnsi="宋体" w:eastAsia="宋体" w:cs="宋体"/>
          <w:b w:val="0"/>
          <w:bCs/>
          <w:color w:val="000000"/>
          <w:sz w:val="21"/>
          <w:u w:val="none"/>
          <w:lang w:val="en-US" w:eastAsia="zh-CN"/>
        </w:rPr>
        <w:t>履行地点：</w:t>
      </w:r>
      <w:r>
        <w:rPr>
          <w:rFonts w:hint="eastAsia" w:ascii="宋体" w:hAnsi="宋体" w:eastAsia="宋体" w:cs="宋体"/>
          <w:b w:val="0"/>
          <w:bCs/>
          <w:color w:val="000000"/>
          <w:sz w:val="21"/>
          <w:u w:val="single"/>
          <w:lang w:val="en-US" w:eastAsia="zh-CN"/>
        </w:rPr>
        <w:t xml:space="preserve"> 甲方所在地-广东省江门市 </w:t>
      </w:r>
      <w:r>
        <w:rPr>
          <w:rFonts w:hint="eastAsia" w:ascii="宋体" w:hAnsi="宋体" w:eastAsia="宋体" w:cs="宋体"/>
          <w:b w:val="0"/>
          <w:bCs/>
          <w:color w:val="000000"/>
          <w:sz w:val="21"/>
          <w:u w:val="none"/>
          <w:lang w:val="en-US"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甲方责任和义务</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最高领导者亲自安排、指挥、监督此项工作的开展</w:t>
      </w:r>
      <w:r>
        <w:rPr>
          <w:rFonts w:hint="eastAsia" w:ascii="宋体" w:hAnsi="宋体" w:eastAsia="宋体" w:cs="宋体"/>
          <w:color w:val="auto"/>
          <w:sz w:val="21"/>
          <w:highlight w:val="none"/>
          <w:lang w:val="en-US" w:eastAsia="zh-CN"/>
        </w:rPr>
        <w:t>。</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按照乙方的要求提供相应的管理和技术资料，资料清单如下：</w:t>
      </w:r>
    </w:p>
    <w:p>
      <w:pPr>
        <w:keepNext w:val="0"/>
        <w:keepLines w:val="0"/>
        <w:pageBreakBefore w:val="0"/>
        <w:widowControl w:val="0"/>
        <w:numPr>
          <w:ilvl w:val="0"/>
          <w:numId w:val="6"/>
        </w:numPr>
        <w:kinsoku/>
        <w:wordWrap/>
        <w:overflowPunct/>
        <w:topLinePunct w:val="0"/>
        <w:autoSpaceDE/>
        <w:autoSpaceDN/>
        <w:bidi w:val="0"/>
        <w:adjustRightInd/>
        <w:snapToGrid/>
        <w:spacing w:line="460" w:lineRule="exact"/>
        <w:ind w:firstLine="630" w:firstLineChars="3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营业执照、相关行业许可资质（如系统集成资质、增值电信许可资质等）；</w:t>
      </w:r>
    </w:p>
    <w:p>
      <w:pPr>
        <w:keepNext w:val="0"/>
        <w:keepLines w:val="0"/>
        <w:pageBreakBefore w:val="0"/>
        <w:widowControl w:val="0"/>
        <w:numPr>
          <w:ilvl w:val="0"/>
          <w:numId w:val="6"/>
        </w:numPr>
        <w:kinsoku/>
        <w:wordWrap/>
        <w:overflowPunct/>
        <w:topLinePunct w:val="0"/>
        <w:autoSpaceDE/>
        <w:autoSpaceDN/>
        <w:bidi w:val="0"/>
        <w:adjustRightInd/>
        <w:snapToGrid/>
        <w:spacing w:line="460" w:lineRule="exact"/>
        <w:ind w:firstLine="630" w:firstLineChars="3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公司简介；</w:t>
      </w:r>
    </w:p>
    <w:p>
      <w:pPr>
        <w:keepNext w:val="0"/>
        <w:keepLines w:val="0"/>
        <w:pageBreakBefore w:val="0"/>
        <w:widowControl w:val="0"/>
        <w:numPr>
          <w:ilvl w:val="0"/>
          <w:numId w:val="6"/>
        </w:numPr>
        <w:kinsoku/>
        <w:wordWrap/>
        <w:overflowPunct/>
        <w:topLinePunct w:val="0"/>
        <w:autoSpaceDE/>
        <w:autoSpaceDN/>
        <w:bidi w:val="0"/>
        <w:adjustRightInd/>
        <w:snapToGrid/>
        <w:spacing w:line="460" w:lineRule="exact"/>
        <w:ind w:left="0" w:leftChars="0" w:firstLine="630" w:firstLineChars="3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公司组织架构图及部门职能说明；</w:t>
      </w:r>
    </w:p>
    <w:p>
      <w:pPr>
        <w:keepNext w:val="0"/>
        <w:keepLines w:val="0"/>
        <w:pageBreakBefore w:val="0"/>
        <w:widowControl w:val="0"/>
        <w:numPr>
          <w:ilvl w:val="0"/>
          <w:numId w:val="6"/>
        </w:numPr>
        <w:kinsoku/>
        <w:wordWrap/>
        <w:overflowPunct/>
        <w:topLinePunct w:val="0"/>
        <w:autoSpaceDE/>
        <w:autoSpaceDN/>
        <w:bidi w:val="0"/>
        <w:adjustRightInd/>
        <w:snapToGrid/>
        <w:spacing w:line="460" w:lineRule="exact"/>
        <w:ind w:left="0" w:leftChars="0" w:firstLine="630" w:firstLineChars="3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公司网络拓扑图；</w:t>
      </w:r>
    </w:p>
    <w:p>
      <w:pPr>
        <w:keepNext w:val="0"/>
        <w:keepLines w:val="0"/>
        <w:pageBreakBefore w:val="0"/>
        <w:widowControl w:val="0"/>
        <w:numPr>
          <w:ilvl w:val="0"/>
          <w:numId w:val="6"/>
        </w:numPr>
        <w:kinsoku/>
        <w:wordWrap/>
        <w:overflowPunct/>
        <w:topLinePunct w:val="0"/>
        <w:autoSpaceDE/>
        <w:autoSpaceDN/>
        <w:bidi w:val="0"/>
        <w:adjustRightInd/>
        <w:snapToGrid/>
        <w:spacing w:line="460" w:lineRule="exact"/>
        <w:ind w:left="0" w:leftChars="0" w:firstLine="630" w:firstLineChars="3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公司内现有的IT硬件、办公电脑设备清单、网络设备/服务器设备清单、PII识别处理PII信息流涉及的信息系统及存储介质等清单；</w:t>
      </w:r>
    </w:p>
    <w:p>
      <w:pPr>
        <w:keepNext w:val="0"/>
        <w:keepLines w:val="0"/>
        <w:pageBreakBefore w:val="0"/>
        <w:widowControl w:val="0"/>
        <w:numPr>
          <w:ilvl w:val="0"/>
          <w:numId w:val="6"/>
        </w:numPr>
        <w:kinsoku/>
        <w:wordWrap/>
        <w:overflowPunct/>
        <w:topLinePunct w:val="0"/>
        <w:autoSpaceDE/>
        <w:autoSpaceDN/>
        <w:bidi w:val="0"/>
        <w:adjustRightInd/>
        <w:snapToGrid/>
        <w:spacing w:line="460" w:lineRule="exact"/>
        <w:ind w:left="0" w:leftChars="0" w:firstLine="630" w:firstLineChars="3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公司现有管理制度及记录表单；</w:t>
      </w:r>
    </w:p>
    <w:p>
      <w:pPr>
        <w:keepNext w:val="0"/>
        <w:keepLines w:val="0"/>
        <w:pageBreakBefore w:val="0"/>
        <w:widowControl w:val="0"/>
        <w:numPr>
          <w:ilvl w:val="0"/>
          <w:numId w:val="6"/>
        </w:numPr>
        <w:kinsoku/>
        <w:wordWrap/>
        <w:overflowPunct/>
        <w:topLinePunct w:val="0"/>
        <w:autoSpaceDE/>
        <w:autoSpaceDN/>
        <w:bidi w:val="0"/>
        <w:adjustRightInd/>
        <w:snapToGrid/>
        <w:spacing w:line="460" w:lineRule="exact"/>
        <w:ind w:left="0" w:leftChars="0" w:firstLine="630" w:firstLineChars="3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与申请的认证范围匹配的服务协议（合同）；</w:t>
      </w:r>
    </w:p>
    <w:p>
      <w:pPr>
        <w:keepNext w:val="0"/>
        <w:keepLines w:val="0"/>
        <w:pageBreakBefore w:val="0"/>
        <w:widowControl w:val="0"/>
        <w:numPr>
          <w:ilvl w:val="0"/>
          <w:numId w:val="6"/>
        </w:numPr>
        <w:kinsoku/>
        <w:wordWrap/>
        <w:overflowPunct/>
        <w:topLinePunct w:val="0"/>
        <w:autoSpaceDE/>
        <w:autoSpaceDN/>
        <w:bidi w:val="0"/>
        <w:adjustRightInd/>
        <w:snapToGrid/>
        <w:spacing w:line="460" w:lineRule="exact"/>
        <w:ind w:left="0" w:leftChars="0" w:firstLine="630" w:firstLineChars="3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其他需要的文件。</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指派</w:t>
      </w:r>
      <w:r>
        <w:rPr>
          <w:rFonts w:hint="eastAsia" w:ascii="宋体" w:hAnsi="宋体" w:eastAsia="宋体" w:cs="宋体"/>
          <w:color w:val="auto"/>
          <w:sz w:val="21"/>
          <w:highlight w:val="none"/>
          <w:lang w:val="en-US" w:eastAsia="zh-CN"/>
        </w:rPr>
        <w:t>1~2名</w:t>
      </w:r>
      <w:r>
        <w:rPr>
          <w:rFonts w:hint="eastAsia" w:ascii="宋体" w:hAnsi="宋体" w:eastAsia="宋体" w:cs="宋体"/>
          <w:color w:val="auto"/>
          <w:sz w:val="21"/>
          <w:highlight w:val="none"/>
          <w:u w:val="none"/>
          <w:lang w:val="en-US" w:eastAsia="zh-CN"/>
        </w:rPr>
        <w:t>甲方代表，负责与乙方</w:t>
      </w:r>
      <w:r>
        <w:rPr>
          <w:rFonts w:hint="eastAsia" w:ascii="宋体" w:hAnsi="宋体" w:eastAsia="宋体" w:cs="宋体"/>
          <w:color w:val="auto"/>
          <w:sz w:val="21"/>
          <w:highlight w:val="none"/>
          <w:lang w:eastAsia="zh-CN"/>
        </w:rPr>
        <w:t>咨询师进行工作对接。</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积极协助和支持乙方各项咨询工作，按咨询计划和要求开展工作。</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按本合同的规定</w:t>
      </w:r>
      <w:r>
        <w:rPr>
          <w:rFonts w:hint="eastAsia" w:ascii="宋体" w:hAnsi="宋体" w:eastAsia="宋体" w:cs="宋体"/>
          <w:color w:val="auto"/>
          <w:sz w:val="21"/>
          <w:highlight w:val="none"/>
          <w:lang w:val="en-US" w:eastAsia="zh-CN"/>
        </w:rPr>
        <w:t>及时</w:t>
      </w:r>
      <w:r>
        <w:rPr>
          <w:rFonts w:hint="eastAsia" w:ascii="宋体" w:hAnsi="宋体" w:eastAsia="宋体" w:cs="宋体"/>
          <w:color w:val="auto"/>
          <w:sz w:val="21"/>
          <w:highlight w:val="none"/>
          <w:lang w:eastAsia="zh-CN"/>
        </w:rPr>
        <w:t>向乙方支付服务费用。</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乙方责任和义务</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auto"/>
          <w:sz w:val="21"/>
          <w:lang w:val="en-US" w:eastAsia="zh-CN"/>
        </w:rPr>
      </w:pPr>
      <w:r>
        <w:rPr>
          <w:rFonts w:hint="eastAsia" w:ascii="宋体" w:hAnsi="宋体" w:eastAsia="宋体" w:cs="宋体"/>
          <w:color w:val="auto"/>
          <w:sz w:val="21"/>
          <w:highlight w:val="none"/>
          <w:lang w:val="en-US" w:eastAsia="zh-CN"/>
        </w:rPr>
        <w:t>依据</w:t>
      </w:r>
      <w:r>
        <w:rPr>
          <w:rFonts w:hint="eastAsia" w:ascii="宋体" w:hAnsi="宋体" w:eastAsia="宋体" w:cs="宋体"/>
          <w:color w:val="auto"/>
          <w:sz w:val="21"/>
          <w:highlight w:val="none"/>
          <w:lang w:eastAsia="zh-CN"/>
        </w:rPr>
        <w:t>ISO9001:2015质量管理体系、ISO14001:2015环境管理体系、ISO45001:2018职业健康安全管理体系、ISO20000信息技术服务管理体系、ISO27001信息安全管理体系及ISO27701隐私信息管理体系标准要求，结合甲方实际情况，指导甲方建立健全管理体系文件，完成三级文件以及相关记录表单的编写和实施。ISO多体系融合的管理体系</w:t>
      </w:r>
      <w:r>
        <w:rPr>
          <w:rFonts w:hint="eastAsia" w:ascii="宋体" w:hAnsi="宋体" w:eastAsia="宋体" w:cs="宋体"/>
          <w:color w:val="auto"/>
          <w:sz w:val="21"/>
          <w:highlight w:val="none"/>
          <w:lang w:val="en-US" w:eastAsia="zh-CN"/>
        </w:rPr>
        <w:t>文件</w:t>
      </w:r>
      <w:r>
        <w:rPr>
          <w:rFonts w:hint="eastAsia" w:ascii="宋体" w:hAnsi="宋体" w:eastAsia="宋体" w:cs="宋体"/>
          <w:color w:val="auto"/>
          <w:sz w:val="21"/>
          <w:highlight w:val="none"/>
          <w:lang w:eastAsia="zh-CN"/>
        </w:rPr>
        <w:t>包括但不限于：</w:t>
      </w:r>
    </w:p>
    <w:p>
      <w:pPr>
        <w:keepNext w:val="0"/>
        <w:keepLines w:val="0"/>
        <w:pageBreakBefore w:val="0"/>
        <w:widowControl w:val="0"/>
        <w:numPr>
          <w:ilvl w:val="0"/>
          <w:numId w:val="8"/>
        </w:numPr>
        <w:tabs>
          <w:tab w:val="left" w:pos="0"/>
        </w:tabs>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质量安全管理手册</w:t>
      </w:r>
    </w:p>
    <w:p>
      <w:pPr>
        <w:keepNext w:val="0"/>
        <w:keepLines w:val="0"/>
        <w:pageBreakBefore w:val="0"/>
        <w:widowControl w:val="0"/>
        <w:numPr>
          <w:ilvl w:val="0"/>
          <w:numId w:val="8"/>
        </w:numPr>
        <w:tabs>
          <w:tab w:val="left" w:pos="0"/>
        </w:tabs>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程序文件</w:t>
      </w:r>
    </w:p>
    <w:p>
      <w:pPr>
        <w:keepNext w:val="0"/>
        <w:keepLines w:val="0"/>
        <w:pageBreakBefore w:val="0"/>
        <w:widowControl w:val="0"/>
        <w:numPr>
          <w:ilvl w:val="0"/>
          <w:numId w:val="8"/>
        </w:numPr>
        <w:tabs>
          <w:tab w:val="left" w:pos="0"/>
        </w:tabs>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val="en-US" w:eastAsia="zh-CN"/>
        </w:rPr>
        <w:t>安全管理文件</w:t>
      </w:r>
    </w:p>
    <w:p>
      <w:pPr>
        <w:keepNext w:val="0"/>
        <w:keepLines w:val="0"/>
        <w:pageBreakBefore w:val="0"/>
        <w:widowControl w:val="0"/>
        <w:numPr>
          <w:ilvl w:val="0"/>
          <w:numId w:val="8"/>
        </w:numPr>
        <w:tabs>
          <w:tab w:val="left" w:pos="0"/>
        </w:tabs>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val="en-US" w:eastAsia="zh-CN"/>
        </w:rPr>
        <w:t>作业指导书</w:t>
      </w:r>
    </w:p>
    <w:p>
      <w:pPr>
        <w:keepNext w:val="0"/>
        <w:keepLines w:val="0"/>
        <w:pageBreakBefore w:val="0"/>
        <w:widowControl w:val="0"/>
        <w:numPr>
          <w:ilvl w:val="0"/>
          <w:numId w:val="8"/>
        </w:numPr>
        <w:tabs>
          <w:tab w:val="left" w:pos="0"/>
        </w:tabs>
        <w:kinsoku/>
        <w:wordWrap/>
        <w:overflowPunct/>
        <w:topLinePunct w:val="0"/>
        <w:autoSpaceDE/>
        <w:autoSpaceDN/>
        <w:bidi w:val="0"/>
        <w:adjustRightInd/>
        <w:snapToGrid/>
        <w:spacing w:line="360" w:lineRule="auto"/>
        <w:ind w:left="420" w:leftChars="0" w:firstLine="0"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val="en-US" w:eastAsia="zh-CN"/>
        </w:rPr>
        <w:t>相关记录表单</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编制建立</w:t>
      </w:r>
      <w:r>
        <w:rPr>
          <w:rFonts w:hint="eastAsia" w:ascii="宋体" w:hAnsi="宋体" w:eastAsia="宋体" w:cs="宋体"/>
          <w:color w:val="auto"/>
          <w:sz w:val="21"/>
          <w:highlight w:val="none"/>
          <w:lang w:val="en-US" w:eastAsia="zh-CN"/>
        </w:rPr>
        <w:t>ISO多体系融合的管理体系</w:t>
      </w:r>
      <w:r>
        <w:rPr>
          <w:rFonts w:hint="eastAsia" w:ascii="宋体" w:hAnsi="宋体" w:eastAsia="宋体" w:cs="宋体"/>
          <w:color w:val="auto"/>
          <w:sz w:val="21"/>
          <w:highlight w:val="none"/>
          <w:lang w:eastAsia="zh-CN"/>
        </w:rPr>
        <w:t>工作计划。</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sz w:val="21"/>
          <w:lang w:val="en-US" w:eastAsia="zh-CN"/>
        </w:rPr>
        <w:t>指导甲方完善有关支持性文件及认证机构要求甲方提交的其他资料。</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指导甲方实施与运行管理体系</w:t>
      </w:r>
      <w:r>
        <w:rPr>
          <w:rFonts w:hint="eastAsia" w:ascii="宋体" w:hAnsi="宋体" w:eastAsia="宋体" w:cs="宋体"/>
          <w:color w:val="auto"/>
          <w:sz w:val="21"/>
          <w:highlight w:val="none"/>
          <w:lang w:val="en-US" w:eastAsia="zh-CN"/>
        </w:rPr>
        <w:t>，</w:t>
      </w:r>
      <w:r>
        <w:rPr>
          <w:rFonts w:hint="eastAsia" w:ascii="宋体" w:hAnsi="宋体" w:eastAsia="宋体" w:cs="宋体"/>
          <w:color w:val="auto"/>
          <w:sz w:val="21"/>
          <w:highlight w:val="none"/>
          <w:lang w:eastAsia="zh-CN"/>
        </w:rPr>
        <w:t>负责组织安排内审与管理评审，包括内审记录、内审报告、不符合项的整改与关闭、管理评审资料的编制与管理评审报告。</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负责对甲方有关人员进行体系标准的宣贯培训、质量管理体系文件培训。</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eastAsia="zh-CN"/>
        </w:rPr>
        <w:t>在认证审核前进行体系符合性审核及纠正措施的监督，以使甲方的管理体系达到标准要求，具备获得认证的条件。</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lang w:val="en-US" w:eastAsia="zh-CN"/>
        </w:rPr>
        <w:t>指导</w:t>
      </w:r>
      <w:r>
        <w:rPr>
          <w:rFonts w:hint="eastAsia" w:ascii="宋体" w:hAnsi="宋体" w:eastAsia="宋体" w:cs="宋体"/>
          <w:color w:val="auto"/>
          <w:sz w:val="21"/>
          <w:highlight w:val="none"/>
          <w:lang w:eastAsia="zh-CN"/>
        </w:rPr>
        <w:t>甲方做好认证申请准备工作，并配合现场审核。</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服务费用与支付方式</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lang w:eastAsia="zh-CN"/>
        </w:rPr>
      </w:pPr>
      <w:r>
        <w:rPr>
          <w:rFonts w:hint="eastAsia" w:ascii="宋体" w:hAnsi="宋体" w:eastAsia="宋体" w:cs="宋体"/>
          <w:b/>
          <w:bCs/>
          <w:color w:val="auto"/>
          <w:sz w:val="21"/>
          <w:highlight w:val="none"/>
          <w:lang w:eastAsia="zh-CN"/>
        </w:rPr>
        <w:t>技术服务</w:t>
      </w:r>
      <w:r>
        <w:rPr>
          <w:rFonts w:hint="eastAsia" w:ascii="宋体" w:hAnsi="宋体" w:eastAsia="宋体" w:cs="宋体"/>
          <w:b/>
          <w:bCs/>
          <w:color w:val="auto"/>
          <w:sz w:val="21"/>
          <w:highlight w:val="none"/>
          <w:lang w:val="en-US" w:eastAsia="zh-CN"/>
        </w:rPr>
        <w:t>总</w:t>
      </w:r>
      <w:r>
        <w:rPr>
          <w:rFonts w:hint="eastAsia" w:ascii="宋体" w:hAnsi="宋体" w:eastAsia="宋体" w:cs="宋体"/>
          <w:b/>
          <w:bCs/>
          <w:color w:val="auto"/>
          <w:sz w:val="21"/>
          <w:highlight w:val="none"/>
          <w:lang w:eastAsia="zh-CN"/>
        </w:rPr>
        <w:t>费用</w:t>
      </w:r>
      <w:r>
        <w:rPr>
          <w:rFonts w:hint="eastAsia" w:ascii="宋体" w:hAnsi="宋体" w:eastAsia="宋体" w:cs="宋体"/>
          <w:color w:val="auto"/>
          <w:sz w:val="21"/>
          <w:highlight w:val="none"/>
          <w:lang w:eastAsia="zh-CN"/>
        </w:rPr>
        <w:t>：人民币</w:t>
      </w:r>
      <w:r>
        <w:rPr>
          <w:rFonts w:hint="eastAsia" w:ascii="宋体" w:hAnsi="宋体" w:eastAsia="宋体" w:cs="宋体"/>
          <w:b w:val="0"/>
          <w:bCs/>
          <w:color w:val="auto"/>
          <w:sz w:val="21"/>
          <w:szCs w:val="21"/>
          <w:u w:val="single"/>
          <w:lang w:val="en-US" w:eastAsia="zh-CN"/>
        </w:rPr>
        <w:t xml:space="preserve">    </w:t>
      </w:r>
      <w:r>
        <w:rPr>
          <w:rFonts w:hint="eastAsia" w:ascii="宋体" w:hAnsi="宋体" w:eastAsia="宋体" w:cs="宋体"/>
          <w:color w:val="auto"/>
          <w:sz w:val="21"/>
          <w:highlight w:val="none"/>
          <w:u w:val="single"/>
          <w:lang w:eastAsia="zh-CN"/>
        </w:rPr>
        <w:t>元整</w:t>
      </w:r>
      <w:r>
        <w:rPr>
          <w:rFonts w:hint="eastAsia" w:ascii="宋体" w:hAnsi="宋体" w:eastAsia="宋体" w:cs="宋体"/>
          <w:color w:val="auto"/>
          <w:sz w:val="21"/>
          <w:highlight w:val="none"/>
          <w:u w:val="single"/>
          <w:lang w:val="en-US" w:eastAsia="zh-CN"/>
        </w:rPr>
        <w:t xml:space="preserve"> </w:t>
      </w:r>
      <w:r>
        <w:rPr>
          <w:rFonts w:hint="eastAsia" w:ascii="宋体" w:hAnsi="宋体" w:eastAsia="宋体" w:cs="宋体"/>
          <w:color w:val="auto"/>
          <w:sz w:val="21"/>
          <w:highlight w:val="none"/>
          <w:u w:val="single"/>
          <w:lang w:eastAsia="zh-CN"/>
        </w:rPr>
        <w:t>（小写￥</w:t>
      </w:r>
      <w:r>
        <w:rPr>
          <w:rFonts w:hint="eastAsia" w:ascii="宋体" w:hAnsi="宋体" w:eastAsia="宋体" w:cs="宋体"/>
          <w:b w:val="0"/>
          <w:bCs/>
          <w:color w:val="auto"/>
          <w:sz w:val="21"/>
          <w:szCs w:val="21"/>
          <w:u w:val="single"/>
          <w:lang w:val="en-US" w:eastAsia="zh-CN"/>
        </w:rPr>
        <w:t xml:space="preserve">    </w:t>
      </w:r>
      <w:r>
        <w:rPr>
          <w:rFonts w:hint="eastAsia" w:ascii="宋体" w:hAnsi="宋体" w:eastAsia="宋体" w:cs="宋体"/>
          <w:color w:val="auto"/>
          <w:sz w:val="21"/>
          <w:highlight w:val="none"/>
          <w:u w:val="single"/>
          <w:lang w:eastAsia="zh-CN"/>
        </w:rPr>
        <w:t>元）</w:t>
      </w:r>
      <w:r>
        <w:rPr>
          <w:rFonts w:hint="eastAsia" w:ascii="宋体" w:hAnsi="宋体" w:eastAsia="宋体" w:cs="宋体"/>
          <w:sz w:val="21"/>
        </w:rPr>
        <w:t>，</w:t>
      </w:r>
      <w:r>
        <w:rPr>
          <w:rFonts w:hint="eastAsia" w:ascii="宋体" w:hAnsi="宋体" w:eastAsia="宋体" w:cs="宋体"/>
          <w:sz w:val="21"/>
          <w:lang w:val="en-US" w:eastAsia="zh-CN"/>
        </w:rPr>
        <w:t>其中不含税金额</w:t>
      </w:r>
      <w:r>
        <w:rPr>
          <w:rFonts w:hint="eastAsia" w:ascii="宋体" w:hAnsi="宋体" w:eastAsia="宋体" w:cs="宋体"/>
          <w:b w:val="0"/>
          <w:bCs/>
          <w:color w:val="auto"/>
          <w:sz w:val="21"/>
          <w:szCs w:val="21"/>
          <w:u w:val="single"/>
          <w:lang w:val="en-US" w:eastAsia="zh-CN"/>
        </w:rPr>
        <w:t xml:space="preserve">    </w:t>
      </w:r>
      <w:r>
        <w:rPr>
          <w:rFonts w:hint="eastAsia" w:ascii="宋体" w:hAnsi="宋体" w:eastAsia="宋体" w:cs="宋体"/>
          <w:sz w:val="21"/>
          <w:lang w:val="en-US" w:eastAsia="zh-CN"/>
        </w:rPr>
        <w:t>元，税费</w:t>
      </w:r>
      <w:r>
        <w:rPr>
          <w:rFonts w:hint="eastAsia" w:ascii="宋体" w:hAnsi="宋体" w:eastAsia="宋体" w:cs="宋体"/>
          <w:b w:val="0"/>
          <w:bCs/>
          <w:color w:val="auto"/>
          <w:sz w:val="21"/>
          <w:szCs w:val="21"/>
          <w:u w:val="single"/>
          <w:lang w:val="en-US" w:eastAsia="zh-CN"/>
        </w:rPr>
        <w:t xml:space="preserve">    </w:t>
      </w:r>
      <w:r>
        <w:rPr>
          <w:rFonts w:hint="eastAsia" w:ascii="宋体" w:hAnsi="宋体" w:eastAsia="宋体" w:cs="宋体"/>
          <w:sz w:val="21"/>
          <w:lang w:val="en-US" w:eastAsia="zh-CN"/>
        </w:rPr>
        <w:t>元，</w:t>
      </w:r>
      <w:r>
        <w:rPr>
          <w:rFonts w:hint="eastAsia" w:ascii="宋体" w:hAnsi="宋体" w:eastAsia="宋体" w:cs="宋体"/>
          <w:sz w:val="21"/>
        </w:rPr>
        <w:t>提供税率为6%的增值税专用发票</w:t>
      </w:r>
      <w:r>
        <w:rPr>
          <w:rFonts w:hint="eastAsia" w:ascii="宋体" w:hAnsi="宋体" w:eastAsia="宋体" w:cs="宋体"/>
          <w:color w:val="auto"/>
          <w:sz w:val="21"/>
          <w:highlight w:val="none"/>
          <w:u w:val="none"/>
          <w:lang w:val="en-US" w:eastAsia="zh-CN"/>
        </w:rPr>
        <w:t>。</w:t>
      </w:r>
      <w:r>
        <w:rPr>
          <w:rFonts w:hint="eastAsia" w:ascii="宋体" w:hAnsi="宋体" w:eastAsia="宋体" w:cs="宋体"/>
          <w:color w:val="auto"/>
          <w:sz w:val="21"/>
          <w:highlight w:val="none"/>
          <w:u w:val="none"/>
          <w:lang w:val="en-US" w:eastAsia="zh-Hans"/>
        </w:rPr>
        <w:t>甲方无须另外支付任何费用</w:t>
      </w:r>
      <w:r>
        <w:rPr>
          <w:rFonts w:hint="eastAsia" w:ascii="宋体" w:hAnsi="宋体" w:eastAsia="宋体" w:cs="宋体"/>
          <w:color w:val="auto"/>
          <w:sz w:val="21"/>
          <w:highlight w:val="none"/>
          <w:u w:val="none"/>
          <w:lang w:eastAsia="zh-Hans"/>
        </w:rPr>
        <w:t>。</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highlight w:val="none"/>
          <w:u w:val="none"/>
          <w:lang w:val="en-US" w:eastAsia="zh-CN"/>
        </w:rPr>
      </w:pPr>
      <w:r>
        <w:rPr>
          <w:rFonts w:hint="eastAsia" w:ascii="宋体" w:hAnsi="宋体" w:eastAsia="宋体" w:cs="宋体"/>
          <w:color w:val="auto"/>
          <w:sz w:val="21"/>
          <w:highlight w:val="none"/>
          <w:u w:val="none"/>
          <w:lang w:val="en-US" w:eastAsia="zh-CN"/>
        </w:rPr>
        <w:t>总费用包括：</w:t>
      </w:r>
      <w:r>
        <w:rPr>
          <w:rFonts w:hint="eastAsia" w:ascii="宋体" w:hAnsi="宋体" w:eastAsia="宋体" w:cs="宋体"/>
          <w:b/>
          <w:bCs/>
          <w:color w:val="auto"/>
          <w:sz w:val="21"/>
          <w:highlight w:val="none"/>
          <w:u w:val="none"/>
          <w:lang w:val="en-US" w:eastAsia="zh-CN"/>
        </w:rPr>
        <w:t>咨询辅导费</w:t>
      </w:r>
      <w:r>
        <w:rPr>
          <w:rFonts w:hint="eastAsia" w:ascii="宋体" w:hAnsi="宋体" w:eastAsia="宋体" w:cs="宋体"/>
          <w:color w:val="auto"/>
          <w:sz w:val="21"/>
          <w:highlight w:val="none"/>
          <w:u w:val="none"/>
          <w:lang w:val="en-US" w:eastAsia="zh-CN"/>
        </w:rPr>
        <w:t>（</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 xml:space="preserve">体系文件编写费 / </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 xml:space="preserve">辅导咨询费 / </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 xml:space="preserve">现场培训费 / </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 xml:space="preserve">现场陪审费 / </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内审员借聘费）及第三方认证机构收取的</w:t>
      </w:r>
      <w:r>
        <w:rPr>
          <w:rFonts w:hint="eastAsia" w:ascii="宋体" w:hAnsi="宋体" w:eastAsia="宋体" w:cs="宋体"/>
          <w:b/>
          <w:bCs/>
          <w:color w:val="auto"/>
          <w:sz w:val="21"/>
          <w:highlight w:val="none"/>
          <w:u w:val="none"/>
          <w:lang w:val="en-US" w:eastAsia="zh-CN"/>
        </w:rPr>
        <w:t>初次认证费</w:t>
      </w:r>
      <w:r>
        <w:rPr>
          <w:rFonts w:hint="eastAsia" w:ascii="宋体" w:hAnsi="宋体" w:eastAsia="宋体" w:cs="宋体"/>
          <w:color w:val="auto"/>
          <w:sz w:val="21"/>
          <w:highlight w:val="none"/>
          <w:u w:val="none"/>
          <w:lang w:val="en-US" w:eastAsia="zh-CN"/>
        </w:rPr>
        <w:t>（</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 xml:space="preserve">体系认证审核费 / </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 xml:space="preserve">认证申请费 / </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 xml:space="preserve">认证注册费 / </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 xml:space="preserve">认证中英文证书费 / </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 xml:space="preserve">当年年金 / </w:t>
      </w:r>
      <w:r>
        <w:rPr>
          <w:rFonts w:hint="eastAsia" w:ascii="宋体" w:hAnsi="宋体" w:eastAsia="宋体" w:cs="宋体"/>
          <w:color w:val="auto"/>
          <w:sz w:val="21"/>
          <w:highlight w:val="none"/>
          <w:u w:val="none"/>
          <w:lang w:val="en-US" w:eastAsia="zh-CN"/>
        </w:rPr>
        <w:sym w:font="Wingdings 2" w:char="0052"/>
      </w:r>
      <w:r>
        <w:rPr>
          <w:rFonts w:hint="eastAsia" w:ascii="宋体" w:hAnsi="宋体" w:eastAsia="宋体" w:cs="宋体"/>
          <w:color w:val="auto"/>
          <w:sz w:val="21"/>
          <w:highlight w:val="none"/>
          <w:u w:val="none"/>
          <w:lang w:val="en-US" w:eastAsia="zh-CN"/>
        </w:rPr>
        <w:t>审核老师食宿差旅费）。</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color w:val="auto"/>
          <w:sz w:val="21"/>
          <w:highlight w:val="none"/>
          <w:lang w:eastAsia="zh-CN"/>
        </w:rPr>
        <w:t>甲方按合同总费用以分期支付方式付给乙方：</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lang w:eastAsia="zh-CN"/>
        </w:rPr>
        <w:t>签订合同后，乙方向甲方提供符合国家财务规定</w:t>
      </w:r>
      <w:r>
        <w:rPr>
          <w:rFonts w:hint="eastAsia" w:ascii="宋体" w:hAnsi="宋体" w:eastAsia="宋体" w:cs="宋体"/>
          <w:color w:val="auto"/>
          <w:sz w:val="21"/>
          <w:lang w:val="en-US" w:eastAsia="zh-CN"/>
        </w:rPr>
        <w:t>的增值税专用</w:t>
      </w:r>
      <w:r>
        <w:rPr>
          <w:rFonts w:hint="eastAsia" w:ascii="宋体" w:hAnsi="宋体" w:eastAsia="宋体" w:cs="宋体"/>
          <w:color w:val="auto"/>
          <w:sz w:val="21"/>
          <w:lang w:eastAsia="zh-CN"/>
        </w:rPr>
        <w:t>发票</w:t>
      </w:r>
      <w:r>
        <w:rPr>
          <w:rFonts w:hint="eastAsia" w:ascii="宋体" w:hAnsi="宋体" w:eastAsia="宋体" w:cs="宋体"/>
          <w:color w:val="auto"/>
          <w:sz w:val="21"/>
          <w:lang w:val="en-US" w:eastAsia="zh-CN"/>
        </w:rPr>
        <w:t>后</w:t>
      </w:r>
      <w:r>
        <w:rPr>
          <w:rFonts w:hint="eastAsia" w:ascii="宋体" w:hAnsi="宋体" w:eastAsia="宋体" w:cs="宋体"/>
          <w:color w:val="auto"/>
          <w:sz w:val="21"/>
          <w:lang w:eastAsia="zh-CN"/>
        </w:rPr>
        <w:t>，</w:t>
      </w:r>
      <w:r>
        <w:rPr>
          <w:rFonts w:hint="eastAsia" w:ascii="宋体" w:hAnsi="宋体" w:eastAsia="宋体" w:cs="宋体"/>
          <w:color w:val="auto"/>
          <w:sz w:val="21"/>
          <w:lang w:val="en-US" w:eastAsia="zh-CN"/>
        </w:rPr>
        <w:t>甲方收到有效发票的</w:t>
      </w:r>
      <w:r>
        <w:rPr>
          <w:rFonts w:hint="eastAsia" w:ascii="宋体" w:hAnsi="宋体" w:eastAsia="宋体" w:cs="宋体"/>
          <w:color w:val="auto"/>
          <w:sz w:val="21"/>
          <w:lang w:eastAsia="zh-CN"/>
        </w:rPr>
        <w:t>15个工作日内，向乙方支付首期服务费用（合同总费用</w:t>
      </w:r>
      <w:r>
        <w:rPr>
          <w:rFonts w:hint="eastAsia" w:ascii="宋体" w:hAnsi="宋体" w:eastAsia="宋体" w:cs="宋体"/>
          <w:color w:val="auto"/>
          <w:sz w:val="21"/>
          <w:szCs w:val="21"/>
          <w:highlight w:val="none"/>
          <w:lang w:eastAsia="zh-CN"/>
        </w:rPr>
        <w:t xml:space="preserve">的 </w:t>
      </w:r>
      <w:r>
        <w:rPr>
          <w:rFonts w:hint="eastAsia" w:ascii="宋体" w:hAnsi="宋体" w:eastAsia="宋体" w:cs="宋体"/>
          <w:color w:val="auto"/>
          <w:sz w:val="21"/>
          <w:szCs w:val="21"/>
          <w:highlight w:val="none"/>
          <w:u w:val="single"/>
          <w:lang w:eastAsia="zh-CN"/>
        </w:rPr>
        <w:t>20</w:t>
      </w:r>
      <w:r>
        <w:rPr>
          <w:rFonts w:hint="eastAsia" w:ascii="宋体" w:hAnsi="宋体" w:eastAsia="宋体" w:cs="宋体"/>
          <w:color w:val="auto"/>
          <w:sz w:val="21"/>
          <w:szCs w:val="21"/>
          <w:highlight w:val="none"/>
          <w:lang w:eastAsia="zh-CN"/>
        </w:rPr>
        <w:t xml:space="preserve"> %）即人民币</w:t>
      </w:r>
      <w:r>
        <w:rPr>
          <w:rFonts w:hint="eastAsia" w:ascii="宋体" w:hAnsi="宋体" w:eastAsia="宋体" w:cs="宋体"/>
          <w:b w:val="0"/>
          <w:bCs/>
          <w:color w:val="auto"/>
          <w:sz w:val="21"/>
          <w:szCs w:val="21"/>
          <w:u w:val="single"/>
          <w:lang w:val="en-US" w:eastAsia="zh-CN"/>
        </w:rPr>
        <w:t xml:space="preserve">    </w:t>
      </w:r>
      <w:r>
        <w:rPr>
          <w:rFonts w:hint="eastAsia" w:ascii="宋体" w:hAnsi="宋体" w:eastAsia="宋体" w:cs="宋体"/>
          <w:color w:val="auto"/>
          <w:sz w:val="21"/>
          <w:szCs w:val="21"/>
          <w:highlight w:val="none"/>
          <w:u w:val="single"/>
          <w:lang w:eastAsia="zh-CN"/>
        </w:rPr>
        <w:t>（小写￥</w:t>
      </w:r>
      <w:r>
        <w:rPr>
          <w:rFonts w:hint="eastAsia" w:ascii="宋体" w:hAnsi="宋体" w:eastAsia="宋体" w:cs="宋体"/>
          <w:b w:val="0"/>
          <w:bCs/>
          <w:color w:val="auto"/>
          <w:sz w:val="21"/>
          <w:szCs w:val="21"/>
          <w:u w:val="single"/>
          <w:lang w:val="en-US" w:eastAsia="zh-CN"/>
        </w:rPr>
        <w:t xml:space="preserve">    </w:t>
      </w:r>
      <w:r>
        <w:rPr>
          <w:rFonts w:hint="eastAsia" w:ascii="宋体" w:hAnsi="宋体" w:eastAsia="宋体" w:cs="宋体"/>
          <w:color w:val="auto"/>
          <w:sz w:val="21"/>
          <w:szCs w:val="21"/>
          <w:highlight w:val="none"/>
          <w:u w:val="single"/>
          <w:lang w:eastAsia="zh-CN"/>
        </w:rPr>
        <w:t>元）（含税价）</w:t>
      </w:r>
      <w:r>
        <w:rPr>
          <w:rFonts w:hint="eastAsia" w:ascii="宋体" w:hAnsi="宋体" w:eastAsia="宋体" w:cs="宋体"/>
          <w:color w:val="auto"/>
          <w:sz w:val="21"/>
          <w:szCs w:val="21"/>
          <w:highlight w:val="none"/>
          <w:u w:val="none"/>
          <w:lang w:eastAsia="zh-CN"/>
        </w:rPr>
        <w:t>；</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经甲方</w:t>
      </w:r>
      <w:r>
        <w:rPr>
          <w:rFonts w:hint="eastAsia" w:ascii="宋体" w:hAnsi="宋体" w:eastAsia="宋体" w:cs="宋体"/>
          <w:color w:val="auto"/>
          <w:sz w:val="21"/>
          <w:szCs w:val="21"/>
          <w:highlight w:val="none"/>
          <w:lang w:val="en-US" w:eastAsia="zh-CN"/>
        </w:rPr>
        <w:t>签认项目推行计划及体系设计阶段的输出文件</w:t>
      </w:r>
      <w:r>
        <w:rPr>
          <w:rFonts w:hint="eastAsia" w:ascii="宋体" w:hAnsi="宋体" w:eastAsia="宋体" w:cs="宋体"/>
          <w:color w:val="auto"/>
          <w:sz w:val="21"/>
          <w:szCs w:val="21"/>
          <w:highlight w:val="none"/>
          <w:lang w:eastAsia="zh-CN"/>
        </w:rPr>
        <w:t>，乙方向甲方提供符合国家财务规定的</w:t>
      </w:r>
      <w:r>
        <w:rPr>
          <w:rFonts w:hint="eastAsia" w:ascii="宋体" w:hAnsi="宋体" w:eastAsia="宋体" w:cs="宋体"/>
          <w:color w:val="auto"/>
          <w:sz w:val="21"/>
          <w:szCs w:val="21"/>
          <w:highlight w:val="none"/>
          <w:lang w:val="en-US" w:eastAsia="zh-CN"/>
        </w:rPr>
        <w:t>增值税专用</w:t>
      </w:r>
      <w:r>
        <w:rPr>
          <w:rFonts w:hint="eastAsia" w:ascii="宋体" w:hAnsi="宋体" w:eastAsia="宋体" w:cs="宋体"/>
          <w:color w:val="auto"/>
          <w:sz w:val="21"/>
          <w:szCs w:val="21"/>
          <w:highlight w:val="none"/>
          <w:lang w:eastAsia="zh-CN"/>
        </w:rPr>
        <w:t>发票</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甲方收到有效发票的</w:t>
      </w:r>
      <w:r>
        <w:rPr>
          <w:rFonts w:hint="eastAsia" w:ascii="宋体" w:hAnsi="宋体" w:eastAsia="宋体" w:cs="宋体"/>
          <w:color w:val="auto"/>
          <w:sz w:val="21"/>
          <w:szCs w:val="21"/>
          <w:highlight w:val="none"/>
          <w:lang w:eastAsia="zh-CN"/>
        </w:rPr>
        <w:t>15个工作日内，向乙方支付第二期服务费用（合同总费用的</w:t>
      </w:r>
      <w:r>
        <w:rPr>
          <w:rFonts w:hint="eastAsia" w:ascii="宋体" w:hAnsi="宋体" w:eastAsia="宋体" w:cs="宋体"/>
          <w:color w:val="auto"/>
          <w:sz w:val="21"/>
          <w:szCs w:val="21"/>
          <w:highlight w:val="none"/>
          <w:u w:val="single"/>
          <w:lang w:eastAsia="zh-CN"/>
        </w:rPr>
        <w:t xml:space="preserve"> 20 </w:t>
      </w:r>
      <w:r>
        <w:rPr>
          <w:rFonts w:hint="eastAsia" w:ascii="宋体" w:hAnsi="宋体" w:eastAsia="宋体" w:cs="宋体"/>
          <w:color w:val="auto"/>
          <w:sz w:val="21"/>
          <w:szCs w:val="21"/>
          <w:highlight w:val="none"/>
          <w:lang w:eastAsia="zh-CN"/>
        </w:rPr>
        <w:t>%），即人民币</w:t>
      </w:r>
      <w:r>
        <w:rPr>
          <w:rFonts w:hint="eastAsia" w:ascii="宋体" w:hAnsi="宋体" w:eastAsia="宋体" w:cs="宋体"/>
          <w:b w:val="0"/>
          <w:bCs/>
          <w:color w:val="auto"/>
          <w:sz w:val="21"/>
          <w:szCs w:val="21"/>
          <w:u w:val="single"/>
          <w:lang w:val="en-US" w:eastAsia="zh-CN"/>
        </w:rPr>
        <w:t xml:space="preserve">    </w:t>
      </w:r>
      <w:r>
        <w:rPr>
          <w:rFonts w:hint="eastAsia" w:ascii="宋体" w:hAnsi="宋体" w:eastAsia="宋体" w:cs="宋体"/>
          <w:color w:val="auto"/>
          <w:sz w:val="21"/>
          <w:szCs w:val="21"/>
          <w:highlight w:val="none"/>
          <w:u w:val="single"/>
          <w:lang w:eastAsia="zh-CN"/>
        </w:rPr>
        <w:t>（小写￥</w:t>
      </w:r>
      <w:r>
        <w:rPr>
          <w:rFonts w:hint="eastAsia" w:ascii="宋体" w:hAnsi="宋体" w:eastAsia="宋体" w:cs="宋体"/>
          <w:b w:val="0"/>
          <w:bCs/>
          <w:color w:val="auto"/>
          <w:sz w:val="21"/>
          <w:szCs w:val="21"/>
          <w:u w:val="single"/>
          <w:lang w:val="en-US" w:eastAsia="zh-CN"/>
        </w:rPr>
        <w:t xml:space="preserve">    </w:t>
      </w:r>
      <w:r>
        <w:rPr>
          <w:rFonts w:hint="eastAsia" w:ascii="宋体" w:hAnsi="宋体" w:eastAsia="宋体" w:cs="宋体"/>
          <w:color w:val="auto"/>
          <w:sz w:val="21"/>
          <w:szCs w:val="21"/>
          <w:highlight w:val="none"/>
          <w:u w:val="single"/>
          <w:lang w:eastAsia="zh-CN"/>
        </w:rPr>
        <w:t>元）（含税价）</w:t>
      </w:r>
      <w:r>
        <w:rPr>
          <w:rFonts w:hint="eastAsia" w:ascii="宋体" w:hAnsi="宋体" w:eastAsia="宋体" w:cs="宋体"/>
          <w:color w:val="auto"/>
          <w:sz w:val="21"/>
          <w:szCs w:val="21"/>
          <w:highlight w:val="none"/>
          <w:lang w:eastAsia="zh-CN"/>
        </w:rPr>
        <w:t>；</w:t>
      </w:r>
    </w:p>
    <w:p>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甲方通过现场评审并</w:t>
      </w:r>
      <w:r>
        <w:rPr>
          <w:rFonts w:hint="eastAsia" w:ascii="宋体" w:hAnsi="宋体" w:eastAsia="宋体" w:cs="宋体"/>
          <w:b/>
          <w:bCs/>
          <w:color w:val="auto"/>
          <w:sz w:val="21"/>
          <w:szCs w:val="21"/>
          <w:highlight w:val="none"/>
          <w:lang w:eastAsia="zh-CN"/>
        </w:rPr>
        <w:t>取得可通过全国认证认可信息公共服务平台查询的</w:t>
      </w:r>
      <w:r>
        <w:rPr>
          <w:rFonts w:hint="eastAsia" w:ascii="宋体" w:hAnsi="宋体" w:eastAsia="宋体" w:cs="宋体"/>
          <w:b/>
          <w:bCs/>
          <w:color w:val="auto"/>
          <w:sz w:val="21"/>
          <w:szCs w:val="21"/>
          <w:highlight w:val="none"/>
          <w:lang w:val="en-US" w:eastAsia="zh-Hans"/>
        </w:rPr>
        <w:t>全部</w:t>
      </w:r>
      <w:r>
        <w:rPr>
          <w:rFonts w:hint="eastAsia" w:ascii="宋体" w:hAnsi="宋体" w:eastAsia="宋体" w:cs="宋体"/>
          <w:b/>
          <w:bCs/>
          <w:color w:val="auto"/>
          <w:sz w:val="21"/>
          <w:szCs w:val="21"/>
          <w:highlight w:val="none"/>
          <w:lang w:eastAsia="zh-CN"/>
        </w:rPr>
        <w:t>有效认证证书</w:t>
      </w:r>
      <w:r>
        <w:rPr>
          <w:rFonts w:hint="eastAsia" w:ascii="宋体" w:hAnsi="宋体" w:eastAsia="宋体" w:cs="宋体"/>
          <w:color w:val="auto"/>
          <w:sz w:val="21"/>
          <w:szCs w:val="21"/>
          <w:highlight w:val="none"/>
          <w:lang w:eastAsia="zh-CN"/>
        </w:rPr>
        <w:t>后，乙方向甲方提供符合国家财务规定的</w:t>
      </w:r>
      <w:r>
        <w:rPr>
          <w:rFonts w:hint="eastAsia" w:ascii="宋体" w:hAnsi="宋体" w:eastAsia="宋体" w:cs="宋体"/>
          <w:color w:val="auto"/>
          <w:sz w:val="21"/>
          <w:szCs w:val="21"/>
          <w:highlight w:val="none"/>
          <w:lang w:val="en-US" w:eastAsia="zh-CN"/>
        </w:rPr>
        <w:t>增值税专用</w:t>
      </w:r>
      <w:r>
        <w:rPr>
          <w:rFonts w:hint="eastAsia" w:ascii="宋体" w:hAnsi="宋体" w:eastAsia="宋体" w:cs="宋体"/>
          <w:color w:val="auto"/>
          <w:sz w:val="21"/>
          <w:szCs w:val="21"/>
          <w:highlight w:val="none"/>
          <w:lang w:eastAsia="zh-CN"/>
        </w:rPr>
        <w:t>发票，</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 xml:space="preserve">收到有效发票的15个工作日内，向乙方支付服务费用尾款（合同总费用的 </w:t>
      </w:r>
      <w:r>
        <w:rPr>
          <w:rFonts w:hint="eastAsia" w:ascii="宋体" w:hAnsi="宋体" w:eastAsia="宋体" w:cs="宋体"/>
          <w:color w:val="auto"/>
          <w:sz w:val="21"/>
          <w:szCs w:val="21"/>
          <w:highlight w:val="none"/>
          <w:u w:val="single"/>
          <w:lang w:eastAsia="zh-CN"/>
        </w:rPr>
        <w:t>60</w:t>
      </w:r>
      <w:r>
        <w:rPr>
          <w:rFonts w:hint="eastAsia" w:ascii="宋体" w:hAnsi="宋体" w:eastAsia="宋体" w:cs="宋体"/>
          <w:color w:val="auto"/>
          <w:sz w:val="21"/>
          <w:szCs w:val="21"/>
          <w:highlight w:val="none"/>
          <w:lang w:eastAsia="zh-CN"/>
        </w:rPr>
        <w:t xml:space="preserve"> %），即人民币</w:t>
      </w:r>
      <w:r>
        <w:rPr>
          <w:rFonts w:hint="eastAsia" w:ascii="宋体" w:hAnsi="宋体" w:eastAsia="宋体" w:cs="宋体"/>
          <w:b w:val="0"/>
          <w:bCs/>
          <w:color w:val="auto"/>
          <w:sz w:val="21"/>
          <w:szCs w:val="21"/>
          <w:u w:val="single"/>
          <w:lang w:val="en-US" w:eastAsia="zh-CN"/>
        </w:rPr>
        <w:t xml:space="preserve">    </w:t>
      </w:r>
      <w:r>
        <w:rPr>
          <w:rFonts w:hint="eastAsia" w:ascii="宋体" w:hAnsi="宋体" w:eastAsia="宋体" w:cs="宋体"/>
          <w:color w:val="auto"/>
          <w:sz w:val="21"/>
          <w:szCs w:val="21"/>
          <w:highlight w:val="none"/>
          <w:u w:val="single"/>
          <w:lang w:eastAsia="zh-CN"/>
        </w:rPr>
        <w:t>（小写￥</w:t>
      </w:r>
      <w:r>
        <w:rPr>
          <w:rFonts w:hint="eastAsia" w:ascii="宋体" w:hAnsi="宋体" w:eastAsia="宋体" w:cs="宋体"/>
          <w:b w:val="0"/>
          <w:bCs/>
          <w:color w:val="auto"/>
          <w:sz w:val="21"/>
          <w:szCs w:val="21"/>
          <w:u w:val="single"/>
          <w:lang w:val="en-US" w:eastAsia="zh-CN"/>
        </w:rPr>
        <w:t xml:space="preserve">    </w:t>
      </w:r>
      <w:r>
        <w:rPr>
          <w:rFonts w:hint="eastAsia" w:ascii="宋体" w:hAnsi="宋体" w:eastAsia="宋体" w:cs="宋体"/>
          <w:color w:val="auto"/>
          <w:sz w:val="21"/>
          <w:szCs w:val="21"/>
          <w:highlight w:val="none"/>
          <w:u w:val="single"/>
          <w:lang w:eastAsia="zh-CN"/>
        </w:rPr>
        <w:t>元）（含税价）</w:t>
      </w:r>
      <w:r>
        <w:rPr>
          <w:rFonts w:hint="eastAsia" w:ascii="宋体" w:hAnsi="宋体" w:eastAsia="宋体" w:cs="宋体"/>
          <w:color w:val="auto"/>
          <w:sz w:val="21"/>
          <w:szCs w:val="21"/>
          <w:highlight w:val="none"/>
          <w:lang w:eastAsia="zh-CN"/>
        </w:rPr>
        <w:t>。</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lang w:eastAsia="zh-CN"/>
        </w:rPr>
      </w:pPr>
      <w:r>
        <w:rPr>
          <w:rFonts w:hint="eastAsia" w:ascii="宋体" w:hAnsi="宋体" w:eastAsia="宋体" w:cs="宋体"/>
          <w:color w:val="auto"/>
          <w:sz w:val="21"/>
          <w:lang w:eastAsia="zh-CN"/>
        </w:rPr>
        <w:t>合同签订后，乙方</w:t>
      </w:r>
      <w:r>
        <w:rPr>
          <w:rFonts w:hint="eastAsia" w:ascii="宋体" w:hAnsi="宋体" w:eastAsia="宋体" w:cs="宋体"/>
          <w:color w:val="auto"/>
          <w:sz w:val="21"/>
          <w:lang w:val="en-US" w:eastAsia="zh-CN"/>
        </w:rPr>
        <w:t>立即</w:t>
      </w:r>
      <w:r>
        <w:rPr>
          <w:rFonts w:hint="eastAsia" w:ascii="宋体" w:hAnsi="宋体" w:eastAsia="宋体" w:cs="宋体"/>
          <w:color w:val="auto"/>
          <w:sz w:val="21"/>
          <w:lang w:eastAsia="zh-CN"/>
        </w:rPr>
        <w:t>启动技术服务项目。本次技术服务项目分两期实施：</w:t>
      </w:r>
    </w:p>
    <w:p>
      <w:pPr>
        <w:keepNext w:val="0"/>
        <w:keepLines w:val="0"/>
        <w:pageBreakBefore w:val="0"/>
        <w:widowControl w:val="0"/>
        <w:numPr>
          <w:ilvl w:val="0"/>
          <w:numId w:val="11"/>
        </w:numP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lang w:eastAsia="zh-CN"/>
        </w:rPr>
      </w:pPr>
      <w:r>
        <w:rPr>
          <w:rFonts w:hint="eastAsia" w:ascii="宋体" w:hAnsi="宋体" w:eastAsia="宋体" w:cs="宋体"/>
          <w:color w:val="auto"/>
          <w:sz w:val="21"/>
          <w:lang w:eastAsia="zh-CN"/>
        </w:rPr>
        <w:t>首期为体系设计阶段。从乙方收到首期服务费用后开始，由乙方对甲方进行体系诊断，确定项目推行计划</w:t>
      </w:r>
      <w:r>
        <w:rPr>
          <w:rFonts w:hint="eastAsia" w:ascii="宋体" w:hAnsi="宋体" w:eastAsia="宋体" w:cs="宋体"/>
          <w:color w:val="auto"/>
          <w:sz w:val="21"/>
          <w:lang w:val="en-US" w:eastAsia="zh-CN"/>
        </w:rPr>
        <w:t>和驻点人员进场安排</w:t>
      </w:r>
      <w:r>
        <w:rPr>
          <w:rFonts w:hint="eastAsia" w:ascii="宋体" w:hAnsi="宋体" w:eastAsia="宋体" w:cs="宋体"/>
          <w:color w:val="auto"/>
          <w:sz w:val="21"/>
          <w:lang w:eastAsia="zh-CN"/>
        </w:rPr>
        <w:t>，并根据诊断结果对甲方组织架构、职能分配等进行适当的更改。输出文件包括但不限于：项目推行计划、公司组织架构图、部门职位职能分配表、各职位说明书（范本）、质量方针及目标（范本）等。</w:t>
      </w:r>
    </w:p>
    <w:p>
      <w:pPr>
        <w:keepNext w:val="0"/>
        <w:keepLines w:val="0"/>
        <w:pageBreakBefore w:val="0"/>
        <w:widowControl w:val="0"/>
        <w:numPr>
          <w:ilvl w:val="0"/>
          <w:numId w:val="11"/>
        </w:numP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lang w:eastAsia="zh-CN"/>
        </w:rPr>
      </w:pPr>
      <w:r>
        <w:rPr>
          <w:rFonts w:hint="eastAsia" w:ascii="宋体" w:hAnsi="宋体" w:eastAsia="宋体" w:cs="宋体"/>
          <w:color w:val="auto"/>
          <w:sz w:val="21"/>
          <w:lang w:eastAsia="zh-CN"/>
        </w:rPr>
        <w:t>二期为体系建立、实施及评审阶段。从乙方收到二期服务费用后开始，由乙方主导体系文件编制、体系宣贯培训、体系文件运行指导和检查、体系评价和改善等工作，以及认证时的现场陪审，协助解决出现的不合格，指导不合格的现场纠正，并确保顺利通过认证，获得认证证书。</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lang w:val="en-US" w:eastAsia="zh-CN"/>
        </w:rPr>
      </w:pPr>
      <w:r>
        <w:rPr>
          <w:rFonts w:hint="eastAsia" w:ascii="宋体" w:hAnsi="宋体" w:eastAsia="宋体" w:cs="宋体"/>
          <w:color w:val="auto"/>
          <w:sz w:val="21"/>
          <w:lang w:val="en-US" w:eastAsia="zh-CN"/>
        </w:rPr>
        <w:t>以上合同总额已经包括</w:t>
      </w:r>
      <w:r>
        <w:rPr>
          <w:rFonts w:hint="eastAsia" w:ascii="宋体" w:hAnsi="宋体" w:eastAsia="宋体" w:cs="宋体"/>
          <w:b w:val="0"/>
          <w:bCs w:val="0"/>
          <w:color w:val="auto"/>
          <w:sz w:val="21"/>
          <w:u w:val="single"/>
          <w:lang w:val="en-US" w:eastAsia="zh-CN"/>
        </w:rPr>
        <w:t>数字江门网络建设有限公司</w:t>
      </w:r>
      <w:r>
        <w:rPr>
          <w:rFonts w:hint="eastAsia" w:ascii="宋体" w:hAnsi="宋体" w:eastAsia="宋体" w:cs="宋体"/>
          <w:color w:val="auto"/>
          <w:sz w:val="21"/>
          <w:lang w:val="en-US" w:eastAsia="zh-CN"/>
        </w:rPr>
        <w:t>与</w:t>
      </w:r>
      <w:r>
        <w:rPr>
          <w:rFonts w:hint="eastAsia" w:ascii="宋体" w:hAnsi="宋体" w:eastAsia="宋体" w:cs="宋体"/>
          <w:b w:val="0"/>
          <w:bCs/>
          <w:color w:val="auto"/>
          <w:sz w:val="21"/>
          <w:u w:val="single"/>
          <w:lang w:val="en-US" w:eastAsia="zh-CN"/>
        </w:rPr>
        <w:t xml:space="preserve">              </w:t>
      </w:r>
      <w:r>
        <w:rPr>
          <w:rFonts w:hint="eastAsia" w:ascii="宋体" w:hAnsi="宋体" w:eastAsia="宋体" w:cs="宋体"/>
          <w:color w:val="auto"/>
          <w:sz w:val="21"/>
          <w:lang w:val="en-US" w:eastAsia="zh-CN"/>
        </w:rPr>
        <w:t>公司签订的《认证合同》中的初次认证费，该《认证合同》产生的初次认证费及支付责任由</w:t>
      </w:r>
      <w:r>
        <w:rPr>
          <w:rFonts w:hint="eastAsia" w:ascii="宋体" w:hAnsi="宋体" w:eastAsia="宋体" w:cs="宋体"/>
          <w:b w:val="0"/>
          <w:bCs/>
          <w:color w:val="auto"/>
          <w:sz w:val="21"/>
          <w:u w:val="single"/>
          <w:lang w:val="en-US" w:eastAsia="zh-CN"/>
        </w:rPr>
        <w:t xml:space="preserve">          </w:t>
      </w:r>
      <w:r>
        <w:rPr>
          <w:rFonts w:hint="eastAsia" w:ascii="宋体" w:hAnsi="宋体" w:eastAsia="宋体" w:cs="宋体"/>
          <w:color w:val="auto"/>
          <w:sz w:val="21"/>
          <w:u w:val="none"/>
          <w:lang w:val="en-US" w:eastAsia="zh-CN"/>
        </w:rPr>
        <w:t>公司</w:t>
      </w:r>
      <w:r>
        <w:rPr>
          <w:rFonts w:hint="eastAsia" w:ascii="宋体" w:hAnsi="宋体" w:eastAsia="宋体" w:cs="宋体"/>
          <w:color w:val="auto"/>
          <w:sz w:val="21"/>
          <w:lang w:val="en-US" w:eastAsia="zh-CN"/>
        </w:rPr>
        <w:t>承担。</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lang w:val="en-US" w:eastAsia="zh-CN"/>
        </w:rPr>
      </w:pPr>
      <w:r>
        <w:rPr>
          <w:rFonts w:hint="eastAsia" w:ascii="宋体" w:hAnsi="宋体" w:eastAsia="宋体" w:cs="宋体"/>
          <w:color w:val="auto"/>
          <w:sz w:val="21"/>
          <w:lang w:val="en-US" w:eastAsia="zh-CN"/>
        </w:rPr>
        <w:t>经</w:t>
      </w:r>
      <w:r>
        <w:rPr>
          <w:rFonts w:hint="eastAsia" w:ascii="宋体" w:hAnsi="宋体" w:eastAsia="宋体" w:cs="宋体"/>
          <w:color w:val="auto"/>
          <w:sz w:val="21"/>
          <w:u w:val="single"/>
          <w:lang w:val="en-US" w:eastAsia="zh-CN"/>
        </w:rPr>
        <w:t>数字江门网络建设有限公司</w:t>
      </w:r>
      <w:r>
        <w:rPr>
          <w:rFonts w:hint="eastAsia" w:ascii="宋体" w:hAnsi="宋体" w:eastAsia="宋体" w:cs="宋体"/>
          <w:color w:val="auto"/>
          <w:sz w:val="21"/>
          <w:lang w:val="en-US" w:eastAsia="zh-CN"/>
        </w:rPr>
        <w:t>与</w:t>
      </w:r>
      <w:r>
        <w:rPr>
          <w:rFonts w:hint="eastAsia" w:ascii="宋体" w:hAnsi="宋体" w:eastAsia="宋体" w:cs="宋体"/>
          <w:color w:val="auto"/>
          <w:sz w:val="21"/>
          <w:u w:val="single"/>
          <w:lang w:val="en-US" w:eastAsia="zh-CN"/>
        </w:rPr>
        <w:t xml:space="preserve">                     </w:t>
      </w:r>
      <w:r>
        <w:rPr>
          <w:rFonts w:hint="eastAsia" w:ascii="宋体" w:hAnsi="宋体" w:eastAsia="宋体" w:cs="宋体"/>
          <w:color w:val="auto"/>
          <w:sz w:val="21"/>
          <w:lang w:val="en-US" w:eastAsia="zh-CN"/>
        </w:rPr>
        <w:t>公司确认后，如产生监督审核费用，经甲乙双方协商，须根据实际情况签署《监督审核服务协议》,此协议与本技术服务合同有同等法律效力。</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验收、评价方法</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color w:val="auto"/>
          <w:sz w:val="21"/>
        </w:rPr>
      </w:pPr>
      <w:r>
        <w:rPr>
          <w:rFonts w:hint="eastAsia" w:ascii="宋体" w:hAnsi="宋体" w:eastAsia="宋体" w:cs="宋体"/>
          <w:color w:val="auto"/>
          <w:sz w:val="21"/>
        </w:rPr>
        <w:t>鉴于技术咨询的验收比较特殊，其成果大都属于软科学范畴，在某种程度上具有无形、不可操作的特点，验收标准以甲方</w:t>
      </w:r>
      <w:r>
        <w:rPr>
          <w:rFonts w:hint="eastAsia" w:ascii="宋体" w:hAnsi="宋体" w:eastAsia="宋体" w:cs="宋体"/>
          <w:color w:val="auto"/>
          <w:sz w:val="21"/>
          <w:lang w:eastAsia="zh-CN"/>
        </w:rPr>
        <w:t>通过第三方认证机构现场审核，获得认证证书</w:t>
      </w:r>
      <w:r>
        <w:rPr>
          <w:rFonts w:hint="eastAsia" w:ascii="宋体" w:hAnsi="宋体" w:eastAsia="宋体" w:cs="宋体"/>
          <w:b/>
          <w:bCs/>
          <w:color w:val="auto"/>
          <w:sz w:val="21"/>
          <w:lang w:eastAsia="zh-CN"/>
        </w:rPr>
        <w:t>（</w:t>
      </w:r>
      <w:r>
        <w:rPr>
          <w:rFonts w:hint="eastAsia" w:ascii="宋体" w:hAnsi="宋体" w:eastAsia="宋体" w:cs="宋体"/>
          <w:b/>
          <w:bCs/>
          <w:color w:val="auto"/>
          <w:sz w:val="21"/>
          <w:lang w:val="en-US" w:eastAsia="zh-CN"/>
        </w:rPr>
        <w:t>证书的有效性</w:t>
      </w:r>
      <w:r>
        <w:rPr>
          <w:rFonts w:hint="eastAsia" w:ascii="宋体" w:hAnsi="宋体" w:eastAsia="宋体" w:cs="宋体"/>
          <w:b/>
          <w:bCs/>
          <w:strike w:val="0"/>
          <w:dstrike w:val="0"/>
          <w:color w:val="auto"/>
          <w:sz w:val="21"/>
          <w:lang w:eastAsia="zh-CN"/>
        </w:rPr>
        <w:t>可通过全国认证认可信息公共服务平台查询</w:t>
      </w:r>
      <w:r>
        <w:rPr>
          <w:rFonts w:hint="eastAsia" w:ascii="宋体" w:hAnsi="宋体" w:eastAsia="宋体" w:cs="宋体"/>
          <w:b/>
          <w:bCs/>
          <w:color w:val="auto"/>
          <w:sz w:val="21"/>
          <w:lang w:eastAsia="zh-CN"/>
        </w:rPr>
        <w:t>）</w:t>
      </w:r>
      <w:r>
        <w:rPr>
          <w:rFonts w:hint="eastAsia" w:ascii="宋体" w:hAnsi="宋体" w:eastAsia="宋体" w:cs="宋体"/>
          <w:color w:val="auto"/>
          <w:sz w:val="21"/>
        </w:rPr>
        <w:t>为衡量标准，故双方应本着科学、公正、实事求是的原则进行验收，不能过于苛刻或显失公平。</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违约责任</w:t>
      </w:r>
    </w:p>
    <w:p>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lang w:eastAsia="zh-CN"/>
        </w:rPr>
      </w:pPr>
      <w:r>
        <w:rPr>
          <w:rFonts w:hint="eastAsia" w:ascii="宋体" w:hAnsi="宋体" w:eastAsia="宋体" w:cs="宋体"/>
          <w:color w:val="auto"/>
          <w:sz w:val="21"/>
          <w:lang w:eastAsia="zh-CN"/>
        </w:rPr>
        <w:t>双方</w:t>
      </w:r>
      <w:r>
        <w:rPr>
          <w:rFonts w:hint="eastAsia" w:ascii="宋体" w:hAnsi="宋体" w:eastAsia="宋体" w:cs="宋体"/>
          <w:color w:val="auto"/>
          <w:sz w:val="21"/>
          <w:lang w:val="en-US" w:eastAsia="zh-CN"/>
        </w:rPr>
        <w:t>应</w:t>
      </w:r>
      <w:r>
        <w:rPr>
          <w:rFonts w:hint="eastAsia" w:ascii="宋体" w:hAnsi="宋体" w:eastAsia="宋体" w:cs="宋体"/>
          <w:color w:val="auto"/>
          <w:sz w:val="21"/>
          <w:lang w:eastAsia="zh-CN"/>
        </w:rPr>
        <w:t>共同努力，确保甲方</w:t>
      </w:r>
      <w:r>
        <w:rPr>
          <w:rFonts w:hint="eastAsia" w:ascii="宋体" w:hAnsi="宋体" w:eastAsia="宋体" w:cs="宋体"/>
          <w:color w:val="auto"/>
          <w:sz w:val="21"/>
          <w:lang w:val="en-US" w:eastAsia="zh-CN"/>
        </w:rPr>
        <w:t>按期</w:t>
      </w:r>
      <w:r>
        <w:rPr>
          <w:rFonts w:hint="eastAsia" w:ascii="宋体" w:hAnsi="宋体" w:eastAsia="宋体" w:cs="宋体"/>
          <w:color w:val="auto"/>
          <w:sz w:val="21"/>
          <w:lang w:eastAsia="zh-CN"/>
        </w:rPr>
        <w:t>取得</w:t>
      </w:r>
      <w:r>
        <w:rPr>
          <w:rFonts w:hint="eastAsia" w:ascii="宋体" w:hAnsi="宋体" w:eastAsia="宋体" w:cs="宋体"/>
          <w:color w:val="auto"/>
          <w:sz w:val="21"/>
          <w:lang w:val="en-US" w:eastAsia="zh-CN"/>
        </w:rPr>
        <w:t>6个管理体系的认证证书</w:t>
      </w:r>
      <w:r>
        <w:rPr>
          <w:rFonts w:hint="eastAsia" w:ascii="宋体" w:hAnsi="宋体" w:eastAsia="宋体" w:cs="宋体"/>
          <w:color w:val="auto"/>
          <w:sz w:val="21"/>
          <w:lang w:eastAsia="zh-CN"/>
        </w:rPr>
        <w:t>。如因乙方原因，甲方未能一次性通过现场正式审</w:t>
      </w:r>
      <w:r>
        <w:rPr>
          <w:rFonts w:hint="eastAsia" w:ascii="宋体" w:hAnsi="宋体" w:eastAsia="宋体" w:cs="宋体"/>
          <w:color w:val="auto"/>
          <w:sz w:val="21"/>
          <w:lang w:val="en-US" w:eastAsia="zh-CN"/>
        </w:rPr>
        <w:t>核</w:t>
      </w:r>
      <w:r>
        <w:rPr>
          <w:rFonts w:hint="eastAsia" w:ascii="宋体" w:hAnsi="宋体" w:eastAsia="宋体" w:cs="宋体"/>
          <w:color w:val="auto"/>
          <w:sz w:val="21"/>
          <w:lang w:eastAsia="zh-CN"/>
        </w:rPr>
        <w:t>的，</w:t>
      </w:r>
      <w:r>
        <w:rPr>
          <w:rFonts w:hint="eastAsia" w:ascii="宋体" w:hAnsi="宋体" w:eastAsia="宋体" w:cs="宋体"/>
          <w:color w:val="auto"/>
          <w:sz w:val="21"/>
          <w:lang w:val="en-US" w:eastAsia="zh-CN"/>
        </w:rPr>
        <w:t>服务费用尾款</w:t>
      </w:r>
      <w:r>
        <w:rPr>
          <w:rFonts w:hint="eastAsia" w:ascii="宋体" w:hAnsi="宋体" w:eastAsia="宋体" w:cs="宋体"/>
          <w:color w:val="auto"/>
          <w:sz w:val="21"/>
          <w:lang w:val="en-US" w:eastAsia="zh-Hans"/>
        </w:rPr>
        <w:t>不予支付</w:t>
      </w:r>
      <w:r>
        <w:rPr>
          <w:rFonts w:hint="eastAsia" w:ascii="宋体" w:hAnsi="宋体" w:eastAsia="宋体" w:cs="宋体"/>
          <w:color w:val="auto"/>
          <w:sz w:val="21"/>
          <w:lang w:val="en-US" w:eastAsia="zh-CN"/>
        </w:rPr>
        <w:t>，且</w:t>
      </w:r>
      <w:r>
        <w:rPr>
          <w:rFonts w:hint="eastAsia" w:ascii="宋体" w:hAnsi="宋体" w:eastAsia="宋体" w:cs="宋体"/>
          <w:color w:val="auto"/>
          <w:sz w:val="21"/>
          <w:lang w:eastAsia="zh-CN"/>
        </w:rPr>
        <w:t>乙方</w:t>
      </w:r>
      <w:r>
        <w:rPr>
          <w:rFonts w:hint="eastAsia" w:ascii="宋体" w:hAnsi="宋体" w:eastAsia="宋体" w:cs="宋体"/>
          <w:color w:val="auto"/>
          <w:sz w:val="21"/>
          <w:lang w:val="en-US" w:eastAsia="zh-CN"/>
        </w:rPr>
        <w:t>必须</w:t>
      </w:r>
      <w:r>
        <w:rPr>
          <w:rFonts w:hint="eastAsia" w:ascii="宋体" w:hAnsi="宋体" w:eastAsia="宋体" w:cs="宋体"/>
          <w:color w:val="auto"/>
          <w:sz w:val="21"/>
          <w:lang w:eastAsia="zh-CN"/>
        </w:rPr>
        <w:t>免费持续辅导至甲方</w:t>
      </w:r>
      <w:r>
        <w:rPr>
          <w:rFonts w:hint="eastAsia" w:ascii="宋体" w:hAnsi="宋体" w:eastAsia="宋体" w:cs="宋体"/>
          <w:color w:val="auto"/>
          <w:sz w:val="21"/>
          <w:lang w:val="en-US" w:eastAsia="zh-CN"/>
        </w:rPr>
        <w:t>获取证书为止</w:t>
      </w:r>
      <w:r>
        <w:rPr>
          <w:rFonts w:hint="eastAsia" w:ascii="宋体" w:hAnsi="宋体" w:eastAsia="宋体" w:cs="宋体"/>
          <w:color w:val="auto"/>
          <w:sz w:val="21"/>
          <w:lang w:eastAsia="zh-CN"/>
        </w:rPr>
        <w:t>。</w:t>
      </w:r>
    </w:p>
    <w:p>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lang w:eastAsia="zh-CN"/>
        </w:rPr>
      </w:pPr>
      <w:r>
        <w:rPr>
          <w:rFonts w:hint="eastAsia" w:ascii="宋体" w:hAnsi="宋体" w:eastAsia="宋体" w:cs="宋体"/>
          <w:b w:val="0"/>
          <w:bCs/>
          <w:color w:val="auto"/>
          <w:sz w:val="21"/>
          <w:u w:val="none"/>
          <w:lang w:val="en-US" w:eastAsia="zh-CN"/>
        </w:rPr>
        <w:t>除双方协商一致外，如因一方原因导致延误，则由相关方承担相应责任。</w:t>
      </w:r>
    </w:p>
    <w:p>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lang w:eastAsia="zh-CN"/>
        </w:rPr>
      </w:pPr>
      <w:r>
        <w:rPr>
          <w:rFonts w:hint="eastAsia" w:ascii="宋体" w:hAnsi="宋体" w:eastAsia="宋体" w:cs="宋体"/>
          <w:color w:val="auto"/>
          <w:sz w:val="21"/>
          <w:lang w:eastAsia="zh-CN"/>
        </w:rPr>
        <w:t>甲方应按本合同约定的条款支付咨询费用，如果甲方超过规定期限，则应向乙方支付滞纳金（当期咨询费×3‰×滞纳天数）；如因此导致咨询计划推迟，乙方不承担由此造成的任何损失，直到甲方支付费用后继续开展相关工作。</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知识产权与保密条款</w:t>
      </w:r>
    </w:p>
    <w:p>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000000"/>
          <w:sz w:val="21"/>
          <w:lang w:val="en-US" w:eastAsia="zh-CN"/>
        </w:rPr>
      </w:pPr>
      <w:r>
        <w:rPr>
          <w:rFonts w:hint="eastAsia" w:ascii="宋体" w:hAnsi="宋体" w:eastAsia="宋体" w:cs="宋体"/>
          <w:color w:val="000000"/>
          <w:sz w:val="21"/>
          <w:lang w:val="en-US" w:eastAsia="zh-CN"/>
        </w:rPr>
        <w:t>甲方提供的资料及根据这些资料形成的文件（包括申请文件）的所有权归甲方。乙方对甲方提供的所有资料及根据这些资料形成的文件（包括申请文件）负有保密义务。未经甲方书面许可，乙方不得将甲方经营、生产状况及技术信息以任何方式在任何场合发布、泄漏，否则乙方将承担由此引起的一切责任。</w:t>
      </w:r>
      <w:r>
        <w:rPr>
          <w:rFonts w:hint="eastAsia" w:ascii="宋体" w:hAnsi="宋体" w:eastAsia="宋体" w:cs="宋体"/>
          <w:color w:val="000000"/>
          <w:sz w:val="21"/>
          <w:lang w:val="en-US" w:eastAsia="zh-Hans"/>
        </w:rPr>
        <w:t>乙方的保密义务不受本合同期满</w:t>
      </w:r>
      <w:r>
        <w:rPr>
          <w:rFonts w:hint="eastAsia" w:ascii="宋体" w:hAnsi="宋体" w:eastAsia="宋体" w:cs="宋体"/>
          <w:color w:val="000000"/>
          <w:sz w:val="21"/>
          <w:lang w:eastAsia="zh-Hans"/>
        </w:rPr>
        <w:t>、</w:t>
      </w:r>
      <w:r>
        <w:rPr>
          <w:rFonts w:hint="eastAsia" w:ascii="宋体" w:hAnsi="宋体" w:eastAsia="宋体" w:cs="宋体"/>
          <w:color w:val="000000"/>
          <w:sz w:val="21"/>
          <w:lang w:val="en-US" w:eastAsia="zh-Hans"/>
        </w:rPr>
        <w:t>解除或终止的影响而一直有效</w:t>
      </w:r>
      <w:r>
        <w:rPr>
          <w:rFonts w:hint="eastAsia" w:ascii="宋体" w:hAnsi="宋体" w:eastAsia="宋体" w:cs="宋体"/>
          <w:color w:val="000000"/>
          <w:sz w:val="21"/>
          <w:lang w:eastAsia="zh-Hans"/>
        </w:rPr>
        <w:t>。</w:t>
      </w:r>
    </w:p>
    <w:p>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000000"/>
          <w:sz w:val="21"/>
          <w:lang w:val="en-US" w:eastAsia="zh-CN"/>
        </w:rPr>
      </w:pPr>
      <w:r>
        <w:rPr>
          <w:rFonts w:hint="eastAsia" w:ascii="宋体" w:hAnsi="宋体" w:eastAsia="宋体" w:cs="宋体"/>
          <w:color w:val="000000"/>
          <w:sz w:val="21"/>
          <w:lang w:val="en-US" w:eastAsia="zh-CN"/>
        </w:rPr>
        <w:t>甲方不得将此项合同的价格（技术服务费）及往来文件以任何方式泄露给第三方。</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争议解决</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0"/>
        <w:jc w:val="both"/>
        <w:textAlignment w:val="auto"/>
        <w:outlineLvl w:val="9"/>
        <w:rPr>
          <w:rFonts w:hint="eastAsia" w:ascii="宋体" w:hAnsi="宋体" w:eastAsia="宋体" w:cs="宋体"/>
          <w:color w:val="000000"/>
          <w:sz w:val="21"/>
        </w:rPr>
      </w:pPr>
      <w:r>
        <w:rPr>
          <w:rFonts w:hint="eastAsia" w:ascii="宋体" w:hAnsi="宋体" w:eastAsia="宋体" w:cs="宋体"/>
          <w:color w:val="000000"/>
          <w:sz w:val="21"/>
        </w:rPr>
        <w:t>本合同在履行过程中如有争议或需调整及其他未尽事宜，双方另行协商解决，也可以请求调解，如达不成调解协议，可向甲方所在地人民法院提起诉讼。</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双方商定的其它事宜</w:t>
      </w:r>
    </w:p>
    <w:p>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strike w:val="0"/>
          <w:dstrike w:val="0"/>
          <w:color w:val="auto"/>
          <w:sz w:val="21"/>
          <w:lang w:eastAsia="zh-CN"/>
        </w:rPr>
      </w:pPr>
      <w:r>
        <w:rPr>
          <w:rFonts w:hint="eastAsia" w:ascii="宋体" w:hAnsi="宋体" w:eastAsia="宋体" w:cs="宋体"/>
          <w:strike w:val="0"/>
          <w:dstrike w:val="0"/>
          <w:color w:val="auto"/>
          <w:sz w:val="21"/>
          <w:lang w:eastAsia="zh-CN"/>
        </w:rPr>
        <w:t>令甲方成功通过第三方认证并非乙方专业服务之终止。</w:t>
      </w:r>
      <w:r>
        <w:rPr>
          <w:rFonts w:hint="eastAsia" w:ascii="宋体" w:hAnsi="宋体" w:eastAsia="宋体" w:cs="宋体"/>
          <w:strike w:val="0"/>
          <w:dstrike w:val="0"/>
          <w:color w:val="auto"/>
          <w:sz w:val="21"/>
          <w:lang w:val="en-US" w:eastAsia="zh-Hans"/>
        </w:rPr>
        <w:t>服务期结束后</w:t>
      </w:r>
      <w:r>
        <w:rPr>
          <w:rFonts w:hint="eastAsia" w:ascii="宋体" w:hAnsi="宋体" w:eastAsia="宋体" w:cs="宋体"/>
          <w:strike w:val="0"/>
          <w:dstrike w:val="0"/>
          <w:color w:val="auto"/>
          <w:sz w:val="21"/>
          <w:lang w:eastAsia="zh-Hans"/>
        </w:rPr>
        <w:t>，</w:t>
      </w:r>
      <w:r>
        <w:rPr>
          <w:rFonts w:hint="eastAsia" w:ascii="宋体" w:hAnsi="宋体" w:eastAsia="宋体" w:cs="宋体"/>
          <w:strike w:val="0"/>
          <w:dstrike w:val="0"/>
          <w:color w:val="auto"/>
          <w:sz w:val="21"/>
          <w:lang w:eastAsia="zh-CN"/>
        </w:rPr>
        <w:t>乙方会随时与甲方保持联络，</w:t>
      </w:r>
      <w:r>
        <w:rPr>
          <w:rFonts w:hint="eastAsia" w:ascii="宋体" w:hAnsi="宋体" w:eastAsia="宋体" w:cs="宋体"/>
          <w:strike w:val="0"/>
          <w:dstrike w:val="0"/>
          <w:color w:val="auto"/>
          <w:sz w:val="21"/>
          <w:lang w:val="en-US" w:eastAsia="zh-Hans"/>
        </w:rPr>
        <w:t>免费</w:t>
      </w:r>
      <w:r>
        <w:rPr>
          <w:rFonts w:hint="eastAsia" w:ascii="宋体" w:hAnsi="宋体" w:eastAsia="宋体" w:cs="宋体"/>
          <w:strike w:val="0"/>
          <w:dstrike w:val="0"/>
          <w:color w:val="auto"/>
          <w:sz w:val="21"/>
          <w:lang w:eastAsia="zh-CN"/>
        </w:rPr>
        <w:t>解答甲方提出</w:t>
      </w:r>
      <w:r>
        <w:rPr>
          <w:rFonts w:hint="eastAsia" w:ascii="宋体" w:hAnsi="宋体" w:eastAsia="宋体" w:cs="宋体"/>
          <w:strike w:val="0"/>
          <w:dstrike w:val="0"/>
          <w:color w:val="auto"/>
          <w:sz w:val="21"/>
          <w:lang w:val="en-US" w:eastAsia="zh-CN"/>
        </w:rPr>
        <w:t>的有</w:t>
      </w:r>
      <w:r>
        <w:rPr>
          <w:rFonts w:hint="eastAsia" w:ascii="宋体" w:hAnsi="宋体" w:eastAsia="宋体" w:cs="宋体"/>
          <w:strike w:val="0"/>
          <w:dstrike w:val="0"/>
          <w:color w:val="auto"/>
          <w:sz w:val="21"/>
          <w:lang w:eastAsia="zh-CN"/>
        </w:rPr>
        <w:t>关后</w:t>
      </w:r>
      <w:r>
        <w:rPr>
          <w:rFonts w:hint="eastAsia" w:ascii="宋体" w:hAnsi="宋体" w:eastAsia="宋体" w:cs="宋体"/>
          <w:strike w:val="0"/>
          <w:dstrike w:val="0"/>
          <w:color w:val="auto"/>
          <w:sz w:val="21"/>
          <w:lang w:val="en-US" w:eastAsia="zh-CN"/>
        </w:rPr>
        <w:t>续</w:t>
      </w:r>
      <w:r>
        <w:rPr>
          <w:rFonts w:hint="eastAsia" w:ascii="宋体" w:hAnsi="宋体" w:eastAsia="宋体" w:cs="宋体"/>
          <w:strike w:val="0"/>
          <w:dstrike w:val="0"/>
          <w:color w:val="auto"/>
          <w:sz w:val="21"/>
          <w:lang w:eastAsia="zh-CN"/>
        </w:rPr>
        <w:t>体系认证标准执行过程中出现的各种问题。</w:t>
      </w:r>
    </w:p>
    <w:p>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strike w:val="0"/>
          <w:dstrike w:val="0"/>
          <w:color w:val="auto"/>
          <w:sz w:val="21"/>
          <w:lang w:eastAsia="zh-CN"/>
        </w:rPr>
      </w:pPr>
      <w:r>
        <w:rPr>
          <w:rFonts w:hint="eastAsia" w:ascii="宋体" w:hAnsi="宋体" w:eastAsia="宋体" w:cs="宋体"/>
          <w:strike w:val="0"/>
          <w:dstrike w:val="0"/>
          <w:color w:val="auto"/>
          <w:sz w:val="21"/>
          <w:lang w:eastAsia="zh-CN"/>
        </w:rPr>
        <w:t>本合同履行期内，双方所有正式通知及文件均采用书面或电子邮件形式。</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lang w:val="en-US" w:eastAsia="zh-CN"/>
        </w:rPr>
      </w:pPr>
      <w:r>
        <w:rPr>
          <w:rFonts w:hint="eastAsia" w:ascii="宋体" w:hAnsi="宋体" w:eastAsia="宋体" w:cs="宋体"/>
          <w:b/>
          <w:color w:val="auto"/>
          <w:sz w:val="21"/>
          <w:lang w:val="en-US" w:eastAsia="zh-CN"/>
        </w:rPr>
        <w:t>生效与范围</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lang w:eastAsia="zh-CN"/>
        </w:rPr>
      </w:pPr>
      <w:r>
        <w:rPr>
          <w:rFonts w:hint="eastAsia" w:ascii="宋体" w:hAnsi="宋体" w:eastAsia="宋体" w:cs="宋体"/>
          <w:sz w:val="21"/>
          <w:lang w:eastAsia="zh-CN"/>
        </w:rPr>
        <w:t>本合同一式两份，甲乙双方各执一份，</w:t>
      </w:r>
      <w:r>
        <w:rPr>
          <w:rFonts w:hint="eastAsia" w:ascii="宋体" w:hAnsi="宋体" w:eastAsia="宋体" w:cs="宋体"/>
          <w:sz w:val="21"/>
          <w:szCs w:val="21"/>
        </w:rPr>
        <w:t>均具有同等法律效力</w:t>
      </w:r>
      <w:r>
        <w:rPr>
          <w:rFonts w:hint="eastAsia" w:ascii="宋体" w:hAnsi="宋体" w:eastAsia="宋体" w:cs="宋体"/>
          <w:sz w:val="21"/>
          <w:lang w:eastAsia="zh-CN"/>
        </w:rPr>
        <w:t>。自双方签字盖章之日起生效，至甲方取得认证证书之日止。</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lang w:eastAsia="zh-CN"/>
        </w:rPr>
      </w:pPr>
      <w:r>
        <w:rPr>
          <w:rFonts w:hint="eastAsia" w:ascii="宋体" w:hAnsi="宋体" w:eastAsia="宋体" w:cs="宋体"/>
          <w:sz w:val="21"/>
          <w:lang w:eastAsia="zh-CN"/>
        </w:rPr>
        <w:t>（</w:t>
      </w:r>
      <w:r>
        <w:rPr>
          <w:rFonts w:hint="eastAsia" w:ascii="宋体" w:hAnsi="宋体" w:eastAsia="宋体" w:cs="宋体"/>
          <w:sz w:val="21"/>
          <w:lang w:val="en-US" w:eastAsia="zh-CN"/>
        </w:rPr>
        <w:t>以下无正文</w:t>
      </w:r>
      <w:r>
        <w:rPr>
          <w:rFonts w:hint="eastAsia" w:ascii="宋体" w:hAnsi="宋体" w:eastAsia="宋体" w:cs="宋体"/>
          <w:sz w:val="21"/>
          <w:lang w:eastAsia="zh-CN"/>
        </w:rPr>
        <w:t>）</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lang w:eastAsia="zh-CN"/>
        </w:rPr>
      </w:pPr>
      <w:r>
        <w:rPr>
          <w:rFonts w:hint="eastAsia" w:ascii="宋体" w:hAnsi="宋体" w:eastAsia="宋体" w:cs="宋体"/>
          <w:sz w:val="21"/>
          <w:lang w:eastAsia="zh-CN"/>
        </w:rPr>
        <w:t>甲方：</w:t>
      </w:r>
      <w:r>
        <w:rPr>
          <w:rFonts w:hint="eastAsia" w:ascii="宋体" w:hAnsi="宋体" w:eastAsia="宋体" w:cs="宋体"/>
          <w:b/>
          <w:bCs/>
          <w:sz w:val="21"/>
          <w:lang w:eastAsia="zh-CN"/>
        </w:rPr>
        <w:t>数字江门网络建设有限公司</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lang w:val="en-US" w:eastAsia="zh-CN"/>
        </w:rPr>
      </w:pPr>
      <w:r>
        <w:rPr>
          <w:rFonts w:hint="eastAsia" w:ascii="宋体" w:hAnsi="宋体" w:eastAsia="宋体" w:cs="宋体"/>
          <w:sz w:val="21"/>
          <w:lang w:eastAsia="zh-CN"/>
        </w:rPr>
        <w:t>注册地址：江门市蓬江区发展大道178号1幢103第三层自编B区</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lang w:eastAsia="zh-CN"/>
        </w:rPr>
      </w:pPr>
      <w:r>
        <w:rPr>
          <w:rFonts w:hint="eastAsia" w:ascii="宋体" w:hAnsi="宋体" w:eastAsia="宋体" w:cs="宋体"/>
          <w:sz w:val="21"/>
          <w:lang w:eastAsia="zh-CN"/>
        </w:rPr>
        <w:t>法人代表或被授权人：</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lang w:eastAsia="zh-CN"/>
        </w:rPr>
      </w:pPr>
      <w:r>
        <w:rPr>
          <w:rFonts w:hint="eastAsia" w:ascii="宋体" w:hAnsi="宋体" w:eastAsia="宋体" w:cs="宋体"/>
          <w:sz w:val="21"/>
          <w:lang w:eastAsia="zh-CN"/>
        </w:rPr>
        <w:t>日期：</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lang w:eastAsia="zh-CN"/>
        </w:rPr>
      </w:pP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lang w:eastAsia="zh-CN"/>
        </w:rPr>
      </w:pPr>
      <w:r>
        <w:rPr>
          <w:rFonts w:hint="eastAsia" w:ascii="宋体" w:hAnsi="宋体" w:eastAsia="宋体" w:cs="宋体"/>
          <w:sz w:val="21"/>
          <w:lang w:eastAsia="zh-CN"/>
        </w:rPr>
        <w:t>乙方：</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lang w:val="en-US" w:eastAsia="zh-CN"/>
        </w:rPr>
      </w:pPr>
      <w:r>
        <w:rPr>
          <w:rFonts w:hint="eastAsia" w:ascii="宋体" w:hAnsi="宋体" w:eastAsia="宋体" w:cs="宋体"/>
          <w:sz w:val="21"/>
          <w:lang w:eastAsia="zh-CN"/>
        </w:rPr>
        <w:t>注册地址：</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1"/>
          <w:lang w:eastAsia="zh-CN"/>
        </w:rPr>
      </w:pPr>
      <w:r>
        <w:rPr>
          <w:rFonts w:hint="eastAsia" w:ascii="宋体" w:hAnsi="宋体" w:eastAsia="宋体" w:cs="宋体"/>
          <w:sz w:val="21"/>
          <w:lang w:eastAsia="zh-CN"/>
        </w:rPr>
        <w:t>法人代表或被授权人：</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color w:val="auto"/>
          <w:sz w:val="21"/>
          <w:szCs w:val="21"/>
          <w:lang w:val="en-US"/>
        </w:rPr>
      </w:pPr>
      <w:r>
        <w:rPr>
          <w:rFonts w:hint="eastAsia" w:ascii="宋体" w:hAnsi="宋体" w:eastAsia="宋体" w:cs="宋体"/>
          <w:sz w:val="21"/>
          <w:lang w:eastAsia="zh-CN"/>
        </w:rPr>
        <w:t>日期：</w:t>
      </w:r>
    </w:p>
    <w:p>
      <w:pPr>
        <w:pStyle w:val="2"/>
        <w:ind w:left="0" w:leftChars="0" w:firstLine="0" w:firstLineChars="0"/>
        <w:rPr>
          <w:rFonts w:hint="eastAsia"/>
        </w:rPr>
      </w:pPr>
    </w:p>
    <w:p>
      <w:pPr>
        <w:ind w:firstLine="482" w:firstLineChars="200"/>
      </w:pPr>
      <w:r>
        <w:rPr>
          <w:rFonts w:hint="eastAsia" w:ascii="宋体" w:hAnsi="宋体" w:eastAsia="宋体" w:cs="宋体"/>
          <w:b/>
          <w:bCs/>
          <w:sz w:val="24"/>
          <w:szCs w:val="24"/>
          <w:highlight w:val="none"/>
        </w:rPr>
        <w:t>注：本合同样本仅供形式上的参考，具体条款内容由采购人和成交供应商协商确定。</w:t>
      </w:r>
    </w:p>
    <w:sectPr>
      <w:headerReference r:id="rId3" w:type="default"/>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K">
    <w:panose1 w:val="03000509000000000000"/>
    <w:charset w:val="86"/>
    <w:family w:val="auto"/>
    <w:pitch w:val="default"/>
    <w:sig w:usb0="00000001" w:usb1="080E0000" w:usb2="00000000" w:usb3="00000000" w:csb0="00040000" w:csb1="00000000"/>
  </w:font>
  <w:font w:name="方正明尚简体">
    <w:altName w:val="宋体"/>
    <w:panose1 w:val="02000000000000000000"/>
    <w:charset w:val="86"/>
    <w:family w:val="auto"/>
    <w:pitch w:val="default"/>
    <w:sig w:usb0="00000000" w:usb1="00000000" w:usb2="00000012" w:usb3="00000000" w:csb0="00040001" w:csb1="00000000"/>
  </w:font>
  <w:font w:name="方正清仿宋 简 Bold">
    <w:altName w:val="仿宋"/>
    <w:panose1 w:val="020008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 w:name="Wingdings 2">
    <w:altName w:val="Wingdings"/>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spacing w:line="240" w:lineRule="auto"/>
      <w:ind w:firstLine="210" w:firstLineChars="100"/>
      <w:rPr>
        <w:rFonts w:hint="eastAsia" w:ascii="方正明尚简体" w:hAnsi="方正明尚简体" w:eastAsia="方正明尚简体" w:cs="方正明尚简体"/>
        <w:color w:val="0070C0"/>
        <w:sz w:val="21"/>
        <w:szCs w:val="32"/>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BD0FB"/>
    <w:multiLevelType w:val="singleLevel"/>
    <w:tmpl w:val="992BD0FB"/>
    <w:lvl w:ilvl="0" w:tentative="0">
      <w:start w:val="1"/>
      <w:numFmt w:val="decimal"/>
      <w:suff w:val="nothing"/>
      <w:lvlText w:val="%1．"/>
      <w:lvlJc w:val="left"/>
      <w:pPr>
        <w:tabs>
          <w:tab w:val="left" w:pos="0"/>
        </w:tabs>
        <w:ind w:left="0" w:firstLine="403"/>
      </w:pPr>
      <w:rPr>
        <w:rFonts w:hint="default"/>
      </w:rPr>
    </w:lvl>
  </w:abstractNum>
  <w:abstractNum w:abstractNumId="1">
    <w:nsid w:val="9A2CDC13"/>
    <w:multiLevelType w:val="singleLevel"/>
    <w:tmpl w:val="9A2CDC13"/>
    <w:lvl w:ilvl="0" w:tentative="0">
      <w:start w:val="1"/>
      <w:numFmt w:val="decimal"/>
      <w:suff w:val="nothing"/>
      <w:lvlText w:val="%1．"/>
      <w:lvlJc w:val="left"/>
      <w:pPr>
        <w:tabs>
          <w:tab w:val="left" w:pos="0"/>
        </w:tabs>
        <w:ind w:left="0" w:firstLine="403"/>
      </w:pPr>
      <w:rPr>
        <w:rFonts w:hint="default"/>
      </w:rPr>
    </w:lvl>
  </w:abstractNum>
  <w:abstractNum w:abstractNumId="2">
    <w:nsid w:val="BBCED7DA"/>
    <w:multiLevelType w:val="singleLevel"/>
    <w:tmpl w:val="BBCED7DA"/>
    <w:lvl w:ilvl="0" w:tentative="0">
      <w:start w:val="4"/>
      <w:numFmt w:val="chineseCounting"/>
      <w:suff w:val="nothing"/>
      <w:lvlText w:val="%1、"/>
      <w:lvlJc w:val="left"/>
      <w:rPr>
        <w:rFonts w:hint="eastAsia"/>
      </w:rPr>
    </w:lvl>
  </w:abstractNum>
  <w:abstractNum w:abstractNumId="3">
    <w:nsid w:val="C80589B1"/>
    <w:multiLevelType w:val="singleLevel"/>
    <w:tmpl w:val="C80589B1"/>
    <w:lvl w:ilvl="0" w:tentative="0">
      <w:start w:val="1"/>
      <w:numFmt w:val="decimal"/>
      <w:suff w:val="nothing"/>
      <w:lvlText w:val="%1．"/>
      <w:lvlJc w:val="left"/>
      <w:pPr>
        <w:tabs>
          <w:tab w:val="left" w:pos="0"/>
        </w:tabs>
        <w:ind w:left="0" w:firstLine="403"/>
      </w:pPr>
      <w:rPr>
        <w:rFonts w:hint="default"/>
      </w:rPr>
    </w:lvl>
  </w:abstractNum>
  <w:abstractNum w:abstractNumId="4">
    <w:nsid w:val="F89EA2FC"/>
    <w:multiLevelType w:val="singleLevel"/>
    <w:tmpl w:val="F89EA2FC"/>
    <w:lvl w:ilvl="0" w:tentative="0">
      <w:start w:val="1"/>
      <w:numFmt w:val="chineseCounting"/>
      <w:suff w:val="nothing"/>
      <w:lvlText w:val="%1、"/>
      <w:lvlJc w:val="left"/>
      <w:pPr>
        <w:ind w:left="0" w:firstLine="420"/>
      </w:pPr>
      <w:rPr>
        <w:rFonts w:hint="eastAsia"/>
      </w:rPr>
    </w:lvl>
  </w:abstractNum>
  <w:abstractNum w:abstractNumId="5">
    <w:nsid w:val="001A5D53"/>
    <w:multiLevelType w:val="singleLevel"/>
    <w:tmpl w:val="001A5D53"/>
    <w:lvl w:ilvl="0" w:tentative="0">
      <w:start w:val="1"/>
      <w:numFmt w:val="decimal"/>
      <w:suff w:val="nothing"/>
      <w:lvlText w:val="%1．"/>
      <w:lvlJc w:val="left"/>
      <w:pPr>
        <w:tabs>
          <w:tab w:val="left" w:pos="0"/>
        </w:tabs>
        <w:ind w:left="0" w:firstLine="403"/>
      </w:pPr>
      <w:rPr>
        <w:rFonts w:hint="default"/>
      </w:rPr>
    </w:lvl>
  </w:abstractNum>
  <w:abstractNum w:abstractNumId="6">
    <w:nsid w:val="0CE49B68"/>
    <w:multiLevelType w:val="singleLevel"/>
    <w:tmpl w:val="0CE49B68"/>
    <w:lvl w:ilvl="0" w:tentative="0">
      <w:start w:val="1"/>
      <w:numFmt w:val="decimal"/>
      <w:suff w:val="nothing"/>
      <w:lvlText w:val="%1．"/>
      <w:lvlJc w:val="left"/>
      <w:pPr>
        <w:tabs>
          <w:tab w:val="left" w:pos="0"/>
        </w:tabs>
        <w:ind w:left="0" w:firstLine="403"/>
      </w:pPr>
      <w:rPr>
        <w:rFonts w:hint="default"/>
        <w:color w:val="000000" w:themeColor="text1"/>
        <w14:textFill>
          <w14:solidFill>
            <w14:schemeClr w14:val="tx1"/>
          </w14:solidFill>
        </w14:textFill>
      </w:rPr>
    </w:lvl>
  </w:abstractNum>
  <w:abstractNum w:abstractNumId="7">
    <w:nsid w:val="240ACA29"/>
    <w:multiLevelType w:val="singleLevel"/>
    <w:tmpl w:val="240ACA29"/>
    <w:lvl w:ilvl="0" w:tentative="0">
      <w:start w:val="1"/>
      <w:numFmt w:val="decimal"/>
      <w:suff w:val="nothing"/>
      <w:lvlText w:val="%1）"/>
      <w:lvlJc w:val="left"/>
    </w:lvl>
  </w:abstractNum>
  <w:abstractNum w:abstractNumId="8">
    <w:nsid w:val="32E507D9"/>
    <w:multiLevelType w:val="singleLevel"/>
    <w:tmpl w:val="32E507D9"/>
    <w:lvl w:ilvl="0" w:tentative="0">
      <w:start w:val="1"/>
      <w:numFmt w:val="decimal"/>
      <w:suff w:val="nothing"/>
      <w:lvlText w:val="%1．"/>
      <w:lvlJc w:val="left"/>
      <w:pPr>
        <w:tabs>
          <w:tab w:val="left" w:pos="0"/>
        </w:tabs>
        <w:ind w:left="0" w:firstLine="403"/>
      </w:pPr>
      <w:rPr>
        <w:rFonts w:hint="default"/>
      </w:rPr>
    </w:lvl>
  </w:abstractNum>
  <w:abstractNum w:abstractNumId="9">
    <w:nsid w:val="3972AD20"/>
    <w:multiLevelType w:val="singleLevel"/>
    <w:tmpl w:val="3972AD20"/>
    <w:lvl w:ilvl="0" w:tentative="0">
      <w:start w:val="1"/>
      <w:numFmt w:val="bullet"/>
      <w:lvlText w:val=""/>
      <w:lvlJc w:val="left"/>
      <w:pPr>
        <w:ind w:left="420" w:hanging="420"/>
      </w:pPr>
      <w:rPr>
        <w:rFonts w:hint="default" w:ascii="Wingdings" w:hAnsi="Wingdings"/>
      </w:rPr>
    </w:lvl>
  </w:abstractNum>
  <w:abstractNum w:abstractNumId="10">
    <w:nsid w:val="3F239C6D"/>
    <w:multiLevelType w:val="singleLevel"/>
    <w:tmpl w:val="3F239C6D"/>
    <w:lvl w:ilvl="0" w:tentative="0">
      <w:start w:val="1"/>
      <w:numFmt w:val="decimal"/>
      <w:suff w:val="nothing"/>
      <w:lvlText w:val="%1）"/>
      <w:lvlJc w:val="left"/>
    </w:lvl>
  </w:abstractNum>
  <w:abstractNum w:abstractNumId="11">
    <w:nsid w:val="49636DFF"/>
    <w:multiLevelType w:val="singleLevel"/>
    <w:tmpl w:val="49636DFF"/>
    <w:lvl w:ilvl="0" w:tentative="0">
      <w:start w:val="1"/>
      <w:numFmt w:val="decimal"/>
      <w:suff w:val="nothing"/>
      <w:lvlText w:val="%1．"/>
      <w:lvlJc w:val="left"/>
      <w:pPr>
        <w:tabs>
          <w:tab w:val="left" w:pos="0"/>
        </w:tabs>
        <w:ind w:left="0" w:firstLine="403"/>
      </w:pPr>
      <w:rPr>
        <w:rFonts w:hint="default"/>
      </w:rPr>
    </w:lvl>
  </w:abstractNum>
  <w:abstractNum w:abstractNumId="12">
    <w:nsid w:val="529F2F59"/>
    <w:multiLevelType w:val="singleLevel"/>
    <w:tmpl w:val="529F2F59"/>
    <w:lvl w:ilvl="0" w:tentative="0">
      <w:start w:val="1"/>
      <w:numFmt w:val="decimal"/>
      <w:suff w:val="space"/>
      <w:lvlText w:val="%1）"/>
      <w:lvlJc w:val="left"/>
    </w:lvl>
  </w:abstractNum>
  <w:abstractNum w:abstractNumId="13">
    <w:nsid w:val="5C7E82D8"/>
    <w:multiLevelType w:val="singleLevel"/>
    <w:tmpl w:val="5C7E82D8"/>
    <w:lvl w:ilvl="0" w:tentative="0">
      <w:start w:val="1"/>
      <w:numFmt w:val="decimal"/>
      <w:suff w:val="nothing"/>
      <w:lvlText w:val="%1．"/>
      <w:lvlJc w:val="left"/>
      <w:pPr>
        <w:tabs>
          <w:tab w:val="left" w:pos="0"/>
        </w:tabs>
        <w:ind w:left="0" w:firstLine="403"/>
      </w:pPr>
      <w:rPr>
        <w:rFonts w:hint="default"/>
      </w:rPr>
    </w:lvl>
  </w:abstractNum>
  <w:num w:numId="1">
    <w:abstractNumId w:val="2"/>
  </w:num>
  <w:num w:numId="2">
    <w:abstractNumId w:val="4"/>
  </w:num>
  <w:num w:numId="3">
    <w:abstractNumId w:val="6"/>
  </w:num>
  <w:num w:numId="4">
    <w:abstractNumId w:val="0"/>
  </w:num>
  <w:num w:numId="5">
    <w:abstractNumId w:val="5"/>
  </w:num>
  <w:num w:numId="6">
    <w:abstractNumId w:val="10"/>
  </w:num>
  <w:num w:numId="7">
    <w:abstractNumId w:val="1"/>
  </w:num>
  <w:num w:numId="8">
    <w:abstractNumId w:val="9"/>
  </w:num>
  <w:num w:numId="9">
    <w:abstractNumId w:val="3"/>
  </w:num>
  <w:num w:numId="10">
    <w:abstractNumId w:val="12"/>
  </w:num>
  <w:num w:numId="11">
    <w:abstractNumId w:val="7"/>
  </w:num>
  <w:num w:numId="12">
    <w:abstractNumId w:val="11"/>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31B0F"/>
    <w:rsid w:val="00D40D69"/>
    <w:rsid w:val="0560355A"/>
    <w:rsid w:val="07097292"/>
    <w:rsid w:val="085B125E"/>
    <w:rsid w:val="088210AA"/>
    <w:rsid w:val="0B0D6C7C"/>
    <w:rsid w:val="0BB6504F"/>
    <w:rsid w:val="0D6767EF"/>
    <w:rsid w:val="0F167789"/>
    <w:rsid w:val="0FC92877"/>
    <w:rsid w:val="111C2B61"/>
    <w:rsid w:val="11DE1299"/>
    <w:rsid w:val="120E39AF"/>
    <w:rsid w:val="16D50F3F"/>
    <w:rsid w:val="1A693E78"/>
    <w:rsid w:val="1AC92D76"/>
    <w:rsid w:val="1D05668A"/>
    <w:rsid w:val="1E025791"/>
    <w:rsid w:val="1E85324A"/>
    <w:rsid w:val="1E876FC3"/>
    <w:rsid w:val="1FC53657"/>
    <w:rsid w:val="20FF72E4"/>
    <w:rsid w:val="237C266D"/>
    <w:rsid w:val="23CD3AA6"/>
    <w:rsid w:val="24E4601E"/>
    <w:rsid w:val="251B46E0"/>
    <w:rsid w:val="2591184A"/>
    <w:rsid w:val="26B31074"/>
    <w:rsid w:val="273D2914"/>
    <w:rsid w:val="29A0718A"/>
    <w:rsid w:val="2A0714E2"/>
    <w:rsid w:val="2AF23A16"/>
    <w:rsid w:val="2B7E66E2"/>
    <w:rsid w:val="2F50060D"/>
    <w:rsid w:val="2F7075FF"/>
    <w:rsid w:val="31EF6F01"/>
    <w:rsid w:val="34B311A9"/>
    <w:rsid w:val="35A3422A"/>
    <w:rsid w:val="35A34D1C"/>
    <w:rsid w:val="35FF4995"/>
    <w:rsid w:val="39132D1D"/>
    <w:rsid w:val="3CB474AB"/>
    <w:rsid w:val="451C0790"/>
    <w:rsid w:val="45C108A7"/>
    <w:rsid w:val="497E213B"/>
    <w:rsid w:val="4E006AFF"/>
    <w:rsid w:val="509946DA"/>
    <w:rsid w:val="51DA64ED"/>
    <w:rsid w:val="522B768A"/>
    <w:rsid w:val="556934FC"/>
    <w:rsid w:val="56C66CC8"/>
    <w:rsid w:val="59664F57"/>
    <w:rsid w:val="63213CF4"/>
    <w:rsid w:val="6A68696F"/>
    <w:rsid w:val="710805D7"/>
    <w:rsid w:val="72A440CB"/>
    <w:rsid w:val="74531B0F"/>
    <w:rsid w:val="747C4693"/>
    <w:rsid w:val="76002F39"/>
    <w:rsid w:val="7A602571"/>
    <w:rsid w:val="7B664AB7"/>
    <w:rsid w:val="7D046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5">
    <w:name w:val="Normal Indent"/>
    <w:basedOn w:val="1"/>
    <w:qFormat/>
    <w:uiPriority w:val="0"/>
    <w:pPr>
      <w:ind w:firstLine="420" w:firstLineChars="200"/>
    </w:pPr>
  </w:style>
  <w:style w:type="paragraph" w:styleId="6">
    <w:name w:val="annotation text"/>
    <w:basedOn w:val="1"/>
    <w:unhideWhenUsed/>
    <w:qFormat/>
    <w:uiPriority w:val="99"/>
    <w:pPr>
      <w:jc w:val="left"/>
    </w:pPr>
  </w:style>
  <w:style w:type="paragraph" w:styleId="7">
    <w:name w:val="Body Text"/>
    <w:basedOn w:val="1"/>
    <w:unhideWhenUsed/>
    <w:qFormat/>
    <w:uiPriority w:val="99"/>
    <w:pPr>
      <w:spacing w:after="120"/>
    </w:pPr>
  </w:style>
  <w:style w:type="paragraph" w:styleId="8">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customStyle="1" w:styleId="12">
    <w:name w:val="List Paragraph"/>
    <w:basedOn w:val="1"/>
    <w:unhideWhenUsed/>
    <w:qFormat/>
    <w:uiPriority w:val="34"/>
    <w:pPr>
      <w:ind w:firstLine="420" w:firstLineChars="200"/>
    </w:pPr>
    <w:rPr>
      <w:rFonts w:eastAsia="宋体"/>
      <w:szCs w:val="24"/>
    </w:rPr>
  </w:style>
  <w:style w:type="paragraph" w:customStyle="1" w:styleId="13">
    <w:name w:val="_Style 97"/>
    <w:basedOn w:val="1"/>
    <w:next w:val="12"/>
    <w:qFormat/>
    <w:uiPriority w:val="0"/>
    <w:pPr>
      <w:ind w:firstLine="420" w:firstLineChars="200"/>
    </w:pPr>
  </w:style>
  <w:style w:type="paragraph" w:customStyle="1" w:styleId="14">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列表段落1"/>
    <w:basedOn w:val="1"/>
    <w:unhideWhenUsed/>
    <w:qFormat/>
    <w:uiPriority w:val="34"/>
    <w:pPr>
      <w:ind w:firstLine="420" w:firstLineChars="200"/>
    </w:pPr>
    <w:rPr>
      <w:rFonts w:eastAsia="宋体"/>
    </w:rPr>
  </w:style>
  <w:style w:type="paragraph" w:customStyle="1" w:styleId="16">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7">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8">
    <w:name w:val="unnamed11"/>
    <w:qFormat/>
    <w:uiPriority w:val="0"/>
    <w:rPr>
      <w:sz w:val="18"/>
      <w:szCs w:val="18"/>
    </w:rPr>
  </w:style>
  <w:style w:type="paragraph" w:customStyle="1" w:styleId="19">
    <w:name w:val="列出段落1"/>
    <w:basedOn w:val="1"/>
    <w:qFormat/>
    <w:uiPriority w:val="34"/>
    <w:pPr>
      <w:ind w:firstLine="420" w:firstLineChars="200"/>
    </w:pPr>
    <w:rPr>
      <w:rFonts w:cstheme="minorBid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Office_11.1.0.11435_F1E327BC-269C-435d-A152-05C5408002CA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林月霞</cp:lastModifiedBy>
  <dcterms:modified xsi:type="dcterms:W3CDTF">2022-06-20T03:05:16Z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2052-11.1.0.11435</vt:lpwstr>
  </property>
  <property fmtid="{D5CDD505-2E9C-101B-9397-08002B2CF9AE}" pid="3" name="ICV">
    <vt:lpwstr>83A5D0F788CA4BA8A968E511DEB9F141</vt:lpwstr>
  </property>
</Properties>
</file>