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eastAsia" w:cs="黑体" w:asciiTheme="minorEastAsia" w:hAnsiTheme="minorEastAsia" w:eastAsiaTheme="minorEastAsia"/>
          <w:b/>
          <w:bCs/>
          <w:sz w:val="30"/>
          <w:szCs w:val="30"/>
          <w:lang w:eastAsia="zh-CN"/>
        </w:rPr>
      </w:pPr>
      <w:bookmarkStart w:id="2" w:name="_GoBack"/>
      <w:bookmarkEnd w:id="2"/>
      <w:r>
        <w:rPr>
          <w:rFonts w:hint="eastAsia" w:cs="黑体" w:asciiTheme="minorEastAsia" w:hAnsiTheme="minorEastAsia" w:eastAsiaTheme="minorEastAsia"/>
          <w:b/>
          <w:bCs/>
          <w:sz w:val="30"/>
          <w:szCs w:val="30"/>
          <w:lang w:eastAsia="zh-CN"/>
        </w:rPr>
        <w:t>江门市中小企业数字化转型城市试点智库服务及数字化水平诊断服务</w:t>
      </w:r>
    </w:p>
    <w:p>
      <w:pPr>
        <w:autoSpaceDE w:val="0"/>
        <w:autoSpaceDN w:val="0"/>
        <w:adjustRightInd w:val="0"/>
        <w:jc w:val="center"/>
        <w:rPr>
          <w:rFonts w:asciiTheme="minorEastAsia" w:hAnsiTheme="minorEastAsia" w:eastAsiaTheme="minorEastAsia"/>
          <w:b/>
          <w:strike/>
          <w:sz w:val="28"/>
          <w:szCs w:val="28"/>
        </w:rPr>
      </w:pPr>
      <w:r>
        <w:rPr>
          <w:rFonts w:hint="eastAsia" w:asciiTheme="minorEastAsia" w:hAnsiTheme="minorEastAsia" w:eastAsiaTheme="minorEastAsia"/>
          <w:b/>
          <w:sz w:val="32"/>
          <w:szCs w:val="32"/>
        </w:rPr>
        <w:t>采购需求（用于采购需求调查）</w:t>
      </w:r>
    </w:p>
    <w:p>
      <w:pPr>
        <w:autoSpaceDE w:val="0"/>
        <w:autoSpaceDN w:val="0"/>
        <w:adjustRightInd w:val="0"/>
        <w:spacing w:line="480" w:lineRule="exact"/>
        <w:ind w:firstLine="481" w:firstLineChars="200"/>
        <w:outlineLvl w:val="0"/>
        <w:rPr>
          <w:rFonts w:asciiTheme="minorEastAsia" w:hAnsiTheme="minorEastAsia" w:eastAsiaTheme="minorEastAsia"/>
          <w:b/>
          <w:sz w:val="24"/>
          <w:szCs w:val="24"/>
        </w:rPr>
      </w:pPr>
    </w:p>
    <w:p>
      <w:pPr>
        <w:autoSpaceDE w:val="0"/>
        <w:autoSpaceDN w:val="0"/>
        <w:adjustRightInd w:val="0"/>
        <w:spacing w:line="480" w:lineRule="exact"/>
        <w:ind w:firstLine="481" w:firstLineChars="200"/>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第一条 项目名称及预算</w:t>
      </w:r>
    </w:p>
    <w:p>
      <w:pPr>
        <w:spacing w:line="480" w:lineRule="exact"/>
        <w:ind w:firstLine="480" w:firstLineChars="200"/>
        <w:rPr>
          <w:rFonts w:hint="eastAsia" w:ascii="宋体" w:hAnsi="宋体" w:cs="宋体" w:eastAsiaTheme="minorEastAsia"/>
          <w:sz w:val="24"/>
          <w:szCs w:val="24"/>
          <w:lang w:eastAsia="zh-CN"/>
        </w:rPr>
      </w:pPr>
      <w:r>
        <w:rPr>
          <w:rFonts w:hint="eastAsia" w:cs="宋体" w:asciiTheme="minorEastAsia" w:hAnsiTheme="minorEastAsia" w:eastAsiaTheme="minorEastAsia"/>
          <w:kern w:val="0"/>
          <w:sz w:val="24"/>
          <w:szCs w:val="24"/>
        </w:rPr>
        <w:t>一、项目名称：</w:t>
      </w:r>
      <w:r>
        <w:rPr>
          <w:rFonts w:hint="eastAsia" w:cs="宋体" w:asciiTheme="minorEastAsia" w:hAnsiTheme="minorEastAsia" w:eastAsiaTheme="minorEastAsia"/>
          <w:kern w:val="0"/>
          <w:sz w:val="24"/>
          <w:szCs w:val="24"/>
          <w:lang w:eastAsia="zh-CN"/>
        </w:rPr>
        <w:t>江门市中小企业数字化转型城市试点智库服务及数字化水平诊断服务</w:t>
      </w:r>
    </w:p>
    <w:p>
      <w:pPr>
        <w:spacing w:line="480" w:lineRule="exact"/>
        <w:ind w:firstLine="480" w:firstLineChars="200"/>
        <w:rPr>
          <w:rFonts w:ascii="宋体" w:hAnsi="宋体" w:cs="宋体"/>
          <w:sz w:val="24"/>
          <w:szCs w:val="24"/>
        </w:rPr>
      </w:pPr>
      <w:r>
        <w:rPr>
          <w:rFonts w:hint="eastAsia" w:ascii="宋体" w:hAnsi="宋体" w:cs="宋体"/>
          <w:sz w:val="24"/>
          <w:szCs w:val="24"/>
        </w:rPr>
        <w:t>二、项目总预算：10800000.00元，其中：</w:t>
      </w:r>
    </w:p>
    <w:p>
      <w:pPr>
        <w:spacing w:line="480" w:lineRule="exact"/>
        <w:ind w:firstLine="480" w:firstLineChars="200"/>
        <w:rPr>
          <w:rFonts w:ascii="宋体" w:hAnsi="宋体" w:cs="宋体"/>
          <w:sz w:val="24"/>
          <w:szCs w:val="24"/>
        </w:rPr>
      </w:pPr>
      <w:r>
        <w:rPr>
          <w:rFonts w:hint="eastAsia" w:ascii="宋体" w:hAnsi="宋体" w:cs="宋体"/>
          <w:sz w:val="24"/>
          <w:szCs w:val="24"/>
        </w:rPr>
        <w:t>采购包1（</w:t>
      </w:r>
      <w:r>
        <w:rPr>
          <w:rFonts w:hint="eastAsia" w:cs="宋体" w:asciiTheme="minorEastAsia" w:hAnsiTheme="minorEastAsia" w:eastAsiaTheme="minorEastAsia"/>
          <w:kern w:val="0"/>
          <w:sz w:val="24"/>
          <w:szCs w:val="24"/>
          <w:lang w:eastAsia="zh-CN"/>
        </w:rPr>
        <w:t>江门市中小企业数字化转型城市试点智库服务及数字化水平诊断服务</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hint="eastAsia" w:ascii="宋体" w:hAnsi="宋体" w:cs="宋体"/>
          <w:sz w:val="24"/>
          <w:szCs w:val="24"/>
        </w:rPr>
        <w:t>采购包预算金额：10800000.00元</w:t>
      </w:r>
    </w:p>
    <w:tbl>
      <w:tblPr>
        <w:tblStyle w:val="1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1226"/>
        <w:gridCol w:w="1294"/>
        <w:gridCol w:w="890"/>
        <w:gridCol w:w="1230"/>
        <w:gridCol w:w="1356"/>
        <w:gridCol w:w="1162"/>
        <w:gridCol w:w="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362" w:type="pct"/>
            <w:vAlign w:val="center"/>
          </w:tcPr>
          <w:p>
            <w:pPr>
              <w:spacing w:line="480" w:lineRule="exact"/>
              <w:jc w:val="center"/>
              <w:rPr>
                <w:rFonts w:ascii="宋体" w:hAnsi="宋体" w:cs="宋体"/>
                <w:sz w:val="24"/>
                <w:szCs w:val="24"/>
              </w:rPr>
            </w:pPr>
            <w:r>
              <w:rPr>
                <w:rFonts w:hint="eastAsia" w:ascii="宋体" w:hAnsi="宋体" w:cs="宋体"/>
                <w:b/>
                <w:sz w:val="24"/>
                <w:szCs w:val="24"/>
                <w:shd w:val="clear" w:color="auto" w:fill="FFFFFF"/>
              </w:rPr>
              <w:t>品目号</w:t>
            </w:r>
          </w:p>
        </w:tc>
        <w:tc>
          <w:tcPr>
            <w:tcW w:w="738" w:type="pct"/>
            <w:vAlign w:val="center"/>
          </w:tcPr>
          <w:p>
            <w:pPr>
              <w:spacing w:line="480" w:lineRule="exact"/>
              <w:jc w:val="center"/>
              <w:rPr>
                <w:rFonts w:ascii="宋体" w:hAnsi="宋体" w:cs="宋体"/>
                <w:sz w:val="24"/>
                <w:szCs w:val="24"/>
              </w:rPr>
            </w:pPr>
            <w:r>
              <w:rPr>
                <w:rFonts w:hint="eastAsia" w:ascii="宋体" w:hAnsi="宋体" w:cs="宋体"/>
                <w:b/>
                <w:sz w:val="24"/>
                <w:szCs w:val="24"/>
                <w:shd w:val="clear" w:color="auto" w:fill="FFFFFF"/>
              </w:rPr>
              <w:t>品目名称</w:t>
            </w:r>
          </w:p>
        </w:tc>
        <w:tc>
          <w:tcPr>
            <w:tcW w:w="777" w:type="pct"/>
            <w:vAlign w:val="center"/>
          </w:tcPr>
          <w:p>
            <w:pPr>
              <w:spacing w:line="480" w:lineRule="exact"/>
              <w:jc w:val="center"/>
              <w:rPr>
                <w:rFonts w:ascii="宋体" w:hAnsi="宋体" w:cs="宋体"/>
                <w:sz w:val="24"/>
                <w:szCs w:val="24"/>
              </w:rPr>
            </w:pPr>
            <w:r>
              <w:rPr>
                <w:rFonts w:hint="eastAsia" w:ascii="宋体" w:hAnsi="宋体" w:cs="宋体"/>
                <w:b/>
                <w:sz w:val="24"/>
                <w:szCs w:val="24"/>
                <w:shd w:val="clear" w:color="auto" w:fill="FFFFFF"/>
              </w:rPr>
              <w:t>采购标的</w:t>
            </w:r>
          </w:p>
        </w:tc>
        <w:tc>
          <w:tcPr>
            <w:tcW w:w="540" w:type="pct"/>
            <w:vAlign w:val="center"/>
          </w:tcPr>
          <w:p>
            <w:pPr>
              <w:spacing w:line="480" w:lineRule="exact"/>
              <w:jc w:val="center"/>
              <w:rPr>
                <w:rFonts w:ascii="宋体" w:hAnsi="宋体" w:cs="宋体"/>
                <w:sz w:val="24"/>
                <w:szCs w:val="24"/>
              </w:rPr>
            </w:pPr>
            <w:r>
              <w:rPr>
                <w:rFonts w:hint="eastAsia" w:ascii="宋体" w:hAnsi="宋体" w:cs="宋体"/>
                <w:b/>
                <w:sz w:val="24"/>
                <w:szCs w:val="24"/>
                <w:shd w:val="clear" w:color="auto" w:fill="FFFFFF"/>
              </w:rPr>
              <w:t>数量（单位）</w:t>
            </w:r>
          </w:p>
        </w:tc>
        <w:tc>
          <w:tcPr>
            <w:tcW w:w="739" w:type="pct"/>
          </w:tcPr>
          <w:p>
            <w:pPr>
              <w:spacing w:line="480" w:lineRule="exact"/>
              <w:jc w:val="center"/>
              <w:rPr>
                <w:rFonts w:ascii="宋体" w:hAnsi="宋体" w:cs="宋体"/>
                <w:b/>
                <w:sz w:val="24"/>
                <w:szCs w:val="24"/>
                <w:shd w:val="clear" w:color="auto" w:fill="FFFFFF"/>
              </w:rPr>
            </w:pPr>
            <w:r>
              <w:rPr>
                <w:rFonts w:hint="eastAsia" w:ascii="宋体" w:hAnsi="宋体" w:cs="宋体"/>
                <w:b/>
                <w:sz w:val="24"/>
                <w:szCs w:val="24"/>
                <w:shd w:val="clear" w:color="auto" w:fill="FFFFFF"/>
              </w:rPr>
              <w:t>技术规格、参数及要求</w:t>
            </w:r>
          </w:p>
        </w:tc>
        <w:tc>
          <w:tcPr>
            <w:tcW w:w="671" w:type="pct"/>
            <w:vAlign w:val="center"/>
          </w:tcPr>
          <w:p>
            <w:pPr>
              <w:spacing w:line="480" w:lineRule="exact"/>
              <w:jc w:val="center"/>
              <w:rPr>
                <w:rFonts w:ascii="宋体" w:hAnsi="宋体" w:cs="宋体"/>
                <w:sz w:val="24"/>
                <w:szCs w:val="24"/>
              </w:rPr>
            </w:pPr>
            <w:r>
              <w:rPr>
                <w:rFonts w:hint="eastAsia" w:ascii="宋体" w:hAnsi="宋体" w:cs="宋体"/>
                <w:b/>
                <w:sz w:val="24"/>
                <w:szCs w:val="24"/>
                <w:shd w:val="clear" w:color="auto" w:fill="FFFFFF"/>
              </w:rPr>
              <w:t>品目预算（元）</w:t>
            </w:r>
          </w:p>
        </w:tc>
        <w:tc>
          <w:tcPr>
            <w:tcW w:w="699" w:type="pct"/>
            <w:vAlign w:val="center"/>
          </w:tcPr>
          <w:p>
            <w:pPr>
              <w:spacing w:line="480" w:lineRule="exact"/>
              <w:jc w:val="center"/>
              <w:rPr>
                <w:rFonts w:ascii="宋体" w:hAnsi="宋体" w:cs="宋体"/>
                <w:b/>
                <w:sz w:val="24"/>
                <w:szCs w:val="24"/>
              </w:rPr>
            </w:pPr>
            <w:r>
              <w:rPr>
                <w:rFonts w:hint="eastAsia" w:ascii="宋体" w:hAnsi="宋体" w:cs="宋体"/>
                <w:b/>
                <w:sz w:val="24"/>
                <w:szCs w:val="24"/>
              </w:rPr>
              <w:t>最高限价（元）</w:t>
            </w:r>
          </w:p>
        </w:tc>
        <w:tc>
          <w:tcPr>
            <w:tcW w:w="470" w:type="pct"/>
            <w:vAlign w:val="center"/>
          </w:tcPr>
          <w:p>
            <w:pPr>
              <w:spacing w:line="480" w:lineRule="exact"/>
              <w:jc w:val="center"/>
              <w:rPr>
                <w:rFonts w:ascii="宋体" w:hAnsi="宋体" w:cs="宋体"/>
                <w:sz w:val="24"/>
                <w:szCs w:val="24"/>
              </w:rPr>
            </w:pPr>
            <w:r>
              <w:rPr>
                <w:rFonts w:hint="eastAsia" w:ascii="宋体" w:hAnsi="宋体" w:cs="宋体"/>
                <w:b/>
                <w:sz w:val="24"/>
                <w:szCs w:val="24"/>
                <w:shd w:val="clear" w:color="auto" w:fill="FFFFFF"/>
              </w:rPr>
              <w:t>是否允许进口产品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362" w:type="pct"/>
            <w:vAlign w:val="center"/>
          </w:tcPr>
          <w:p>
            <w:pPr>
              <w:spacing w:line="480" w:lineRule="exact"/>
              <w:jc w:val="center"/>
              <w:rPr>
                <w:rFonts w:ascii="宋体" w:hAnsi="宋体" w:cs="宋体"/>
                <w:color w:val="auto"/>
                <w:sz w:val="24"/>
                <w:szCs w:val="24"/>
              </w:rPr>
            </w:pPr>
            <w:r>
              <w:rPr>
                <w:rFonts w:hint="eastAsia" w:ascii="宋体" w:hAnsi="宋体" w:cs="宋体"/>
                <w:color w:val="auto"/>
                <w:sz w:val="24"/>
                <w:szCs w:val="24"/>
              </w:rPr>
              <w:t>1-1</w:t>
            </w:r>
          </w:p>
        </w:tc>
        <w:tc>
          <w:tcPr>
            <w:tcW w:w="738" w:type="pct"/>
            <w:vAlign w:val="center"/>
          </w:tcPr>
          <w:p>
            <w:pPr>
              <w:spacing w:line="480" w:lineRule="exact"/>
              <w:jc w:val="center"/>
              <w:rPr>
                <w:rFonts w:ascii="宋体" w:hAnsi="宋体" w:cs="宋体"/>
                <w:color w:val="auto"/>
                <w:sz w:val="24"/>
                <w:szCs w:val="24"/>
              </w:rPr>
            </w:pPr>
            <w:r>
              <w:rPr>
                <w:rFonts w:hint="eastAsia" w:ascii="宋体" w:hAnsi="宋体" w:cs="宋体"/>
                <w:color w:val="auto"/>
                <w:sz w:val="24"/>
                <w:szCs w:val="24"/>
              </w:rPr>
              <w:t>其他服务</w:t>
            </w:r>
          </w:p>
        </w:tc>
        <w:tc>
          <w:tcPr>
            <w:tcW w:w="777" w:type="pct"/>
            <w:vAlign w:val="center"/>
          </w:tcPr>
          <w:p>
            <w:pPr>
              <w:widowControl/>
              <w:jc w:val="center"/>
              <w:textAlignment w:val="center"/>
              <w:rPr>
                <w:rFonts w:hint="eastAsia" w:cs="宋体" w:asciiTheme="minorEastAsia" w:hAnsiTheme="minorEastAsia" w:eastAsiaTheme="minorEastAsia"/>
                <w:color w:val="auto"/>
                <w:sz w:val="24"/>
                <w:szCs w:val="24"/>
                <w:lang w:eastAsia="zh-CN"/>
              </w:rPr>
            </w:pPr>
            <w:r>
              <w:rPr>
                <w:rFonts w:hint="eastAsia" w:cs="宋体" w:asciiTheme="minorEastAsia" w:hAnsiTheme="minorEastAsia" w:eastAsiaTheme="minorEastAsia"/>
                <w:color w:val="auto"/>
                <w:sz w:val="24"/>
                <w:szCs w:val="24"/>
                <w:lang w:eastAsia="zh-CN"/>
              </w:rPr>
              <w:t>江门市中小企业数字化转型城市试点智库服务</w:t>
            </w:r>
          </w:p>
        </w:tc>
        <w:tc>
          <w:tcPr>
            <w:tcW w:w="540" w:type="pct"/>
            <w:vAlign w:val="center"/>
          </w:tcPr>
          <w:p>
            <w:pPr>
              <w:widowControl/>
              <w:jc w:val="center"/>
              <w:textAlignment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1项</w:t>
            </w:r>
          </w:p>
        </w:tc>
        <w:tc>
          <w:tcPr>
            <w:tcW w:w="739" w:type="pct"/>
            <w:vAlign w:val="center"/>
          </w:tcPr>
          <w:p>
            <w:pPr>
              <w:spacing w:line="480" w:lineRule="exact"/>
              <w:jc w:val="center"/>
              <w:rPr>
                <w:rFonts w:ascii="宋体" w:hAnsi="宋体" w:cs="宋体"/>
                <w:color w:val="auto"/>
                <w:sz w:val="24"/>
                <w:szCs w:val="24"/>
              </w:rPr>
            </w:pPr>
            <w:r>
              <w:rPr>
                <w:rFonts w:hint="eastAsia" w:ascii="宋体" w:hAnsi="宋体" w:cs="宋体"/>
                <w:color w:val="auto"/>
                <w:sz w:val="24"/>
                <w:szCs w:val="24"/>
              </w:rPr>
              <w:t>详见采购文件</w:t>
            </w:r>
          </w:p>
        </w:tc>
        <w:tc>
          <w:tcPr>
            <w:tcW w:w="671" w:type="pct"/>
            <w:vAlign w:val="center"/>
          </w:tcPr>
          <w:p>
            <w:pPr>
              <w:jc w:val="center"/>
              <w:rPr>
                <w:rFonts w:ascii="宋体" w:hAnsi="宋体" w:cs="宋体"/>
                <w:color w:val="auto"/>
                <w:sz w:val="24"/>
                <w:szCs w:val="24"/>
              </w:rPr>
            </w:pPr>
            <w:r>
              <w:rPr>
                <w:rFonts w:hint="eastAsia" w:ascii="宋体" w:hAnsi="宋体" w:cs="宋体"/>
                <w:color w:val="auto"/>
                <w:sz w:val="24"/>
                <w:szCs w:val="24"/>
              </w:rPr>
              <w:t>5800000.00</w:t>
            </w:r>
          </w:p>
        </w:tc>
        <w:tc>
          <w:tcPr>
            <w:tcW w:w="699" w:type="pct"/>
            <w:vAlign w:val="center"/>
          </w:tcPr>
          <w:p>
            <w:pPr>
              <w:jc w:val="center"/>
              <w:rPr>
                <w:rFonts w:ascii="宋体" w:hAnsi="宋体" w:cs="宋体"/>
                <w:color w:val="auto"/>
                <w:sz w:val="24"/>
                <w:szCs w:val="24"/>
              </w:rPr>
            </w:pPr>
            <w:r>
              <w:rPr>
                <w:rFonts w:hint="eastAsia" w:ascii="宋体" w:hAnsi="宋体" w:cs="宋体"/>
                <w:color w:val="auto"/>
                <w:sz w:val="24"/>
                <w:szCs w:val="24"/>
              </w:rPr>
              <w:t>/</w:t>
            </w:r>
          </w:p>
        </w:tc>
        <w:tc>
          <w:tcPr>
            <w:tcW w:w="470" w:type="pct"/>
            <w:vAlign w:val="center"/>
          </w:tcPr>
          <w:p>
            <w:pPr>
              <w:jc w:val="center"/>
              <w:rPr>
                <w:color w:val="auto"/>
              </w:rPr>
            </w:pPr>
            <w:r>
              <w:rPr>
                <w:rFonts w:hint="eastAsia" w:ascii="宋体" w:hAnsi="宋体" w:cs="宋体"/>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362" w:type="pct"/>
            <w:vAlign w:val="center"/>
          </w:tcPr>
          <w:p>
            <w:pPr>
              <w:spacing w:line="480" w:lineRule="exact"/>
              <w:jc w:val="center"/>
              <w:rPr>
                <w:rFonts w:ascii="宋体" w:hAnsi="宋体" w:cs="宋体"/>
                <w:color w:val="auto"/>
                <w:sz w:val="24"/>
                <w:szCs w:val="24"/>
              </w:rPr>
            </w:pPr>
            <w:r>
              <w:rPr>
                <w:rFonts w:hint="eastAsia" w:ascii="宋体" w:hAnsi="宋体" w:cs="宋体"/>
                <w:color w:val="auto"/>
                <w:sz w:val="24"/>
                <w:szCs w:val="24"/>
              </w:rPr>
              <w:t>1-2</w:t>
            </w:r>
          </w:p>
        </w:tc>
        <w:tc>
          <w:tcPr>
            <w:tcW w:w="738" w:type="pct"/>
            <w:vAlign w:val="center"/>
          </w:tcPr>
          <w:p>
            <w:pPr>
              <w:spacing w:line="480" w:lineRule="exact"/>
              <w:jc w:val="center"/>
              <w:rPr>
                <w:rFonts w:ascii="宋体" w:hAnsi="宋体" w:cs="宋体"/>
                <w:color w:val="auto"/>
                <w:sz w:val="24"/>
                <w:szCs w:val="24"/>
              </w:rPr>
            </w:pPr>
            <w:r>
              <w:rPr>
                <w:rFonts w:hint="eastAsia" w:ascii="宋体" w:hAnsi="宋体" w:cs="宋体"/>
                <w:color w:val="auto"/>
                <w:sz w:val="24"/>
                <w:szCs w:val="24"/>
              </w:rPr>
              <w:t>其他服务</w:t>
            </w:r>
          </w:p>
        </w:tc>
        <w:tc>
          <w:tcPr>
            <w:tcW w:w="777" w:type="pct"/>
            <w:vAlign w:val="center"/>
          </w:tcPr>
          <w:p>
            <w:pPr>
              <w:widowControl/>
              <w:jc w:val="center"/>
              <w:textAlignment w:val="center"/>
              <w:rPr>
                <w:rFonts w:hint="eastAsia" w:cs="宋体" w:asciiTheme="minorEastAsia" w:hAnsiTheme="minorEastAsia" w:eastAsiaTheme="minorEastAsia"/>
                <w:color w:val="auto"/>
                <w:sz w:val="24"/>
                <w:szCs w:val="24"/>
                <w:lang w:eastAsia="zh-CN"/>
              </w:rPr>
            </w:pPr>
            <w:r>
              <w:rPr>
                <w:rFonts w:hint="eastAsia" w:cs="宋体" w:asciiTheme="minorEastAsia" w:hAnsiTheme="minorEastAsia" w:eastAsiaTheme="minorEastAsia"/>
                <w:color w:val="auto"/>
                <w:sz w:val="24"/>
                <w:szCs w:val="24"/>
                <w:lang w:eastAsia="zh-CN"/>
              </w:rPr>
              <w:t>江门市中小企业数字化转型城市试点数字化水平诊断服务</w:t>
            </w:r>
          </w:p>
        </w:tc>
        <w:tc>
          <w:tcPr>
            <w:tcW w:w="540" w:type="pct"/>
            <w:vAlign w:val="center"/>
          </w:tcPr>
          <w:p>
            <w:pPr>
              <w:widowControl/>
              <w:jc w:val="center"/>
              <w:textAlignment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1项</w:t>
            </w:r>
          </w:p>
        </w:tc>
        <w:tc>
          <w:tcPr>
            <w:tcW w:w="739" w:type="pct"/>
            <w:vAlign w:val="center"/>
          </w:tcPr>
          <w:p>
            <w:pPr>
              <w:spacing w:line="480" w:lineRule="exact"/>
              <w:jc w:val="center"/>
              <w:rPr>
                <w:rFonts w:ascii="宋体" w:hAnsi="宋体" w:cs="宋体"/>
                <w:color w:val="auto"/>
                <w:sz w:val="24"/>
                <w:szCs w:val="24"/>
              </w:rPr>
            </w:pPr>
            <w:r>
              <w:rPr>
                <w:rFonts w:hint="eastAsia" w:ascii="宋体" w:hAnsi="宋体" w:cs="宋体"/>
                <w:color w:val="auto"/>
                <w:sz w:val="24"/>
                <w:szCs w:val="24"/>
              </w:rPr>
              <w:t>详见采购文件</w:t>
            </w:r>
          </w:p>
        </w:tc>
        <w:tc>
          <w:tcPr>
            <w:tcW w:w="671" w:type="pct"/>
            <w:vAlign w:val="center"/>
          </w:tcPr>
          <w:p>
            <w:pPr>
              <w:jc w:val="center"/>
              <w:rPr>
                <w:rFonts w:ascii="宋体" w:hAnsi="宋体" w:cs="宋体"/>
                <w:color w:val="auto"/>
                <w:sz w:val="24"/>
                <w:szCs w:val="24"/>
              </w:rPr>
            </w:pPr>
            <w:r>
              <w:rPr>
                <w:rFonts w:hint="eastAsia" w:ascii="宋体" w:hAnsi="宋体" w:cs="宋体"/>
                <w:color w:val="auto"/>
                <w:sz w:val="24"/>
                <w:szCs w:val="24"/>
              </w:rPr>
              <w:t>5000000.00</w:t>
            </w:r>
          </w:p>
        </w:tc>
        <w:tc>
          <w:tcPr>
            <w:tcW w:w="699" w:type="pct"/>
            <w:vAlign w:val="center"/>
          </w:tcPr>
          <w:p>
            <w:pPr>
              <w:jc w:val="center"/>
              <w:rPr>
                <w:rFonts w:ascii="宋体" w:hAnsi="宋体" w:cs="宋体"/>
                <w:color w:val="auto"/>
                <w:sz w:val="24"/>
                <w:szCs w:val="24"/>
              </w:rPr>
            </w:pPr>
            <w:r>
              <w:rPr>
                <w:rFonts w:hint="eastAsia" w:ascii="宋体" w:hAnsi="宋体" w:cs="宋体"/>
                <w:color w:val="auto"/>
                <w:sz w:val="24"/>
                <w:szCs w:val="24"/>
              </w:rPr>
              <w:t>/</w:t>
            </w:r>
          </w:p>
        </w:tc>
        <w:tc>
          <w:tcPr>
            <w:tcW w:w="470" w:type="pct"/>
            <w:vAlign w:val="center"/>
          </w:tcPr>
          <w:p>
            <w:pPr>
              <w:jc w:val="center"/>
              <w:rPr>
                <w:rFonts w:ascii="宋体" w:hAnsi="宋体" w:cs="宋体"/>
                <w:color w:val="auto"/>
                <w:sz w:val="24"/>
                <w:szCs w:val="24"/>
              </w:rPr>
            </w:pPr>
            <w:r>
              <w:rPr>
                <w:rFonts w:hint="eastAsia" w:ascii="宋体" w:hAnsi="宋体" w:cs="宋体"/>
                <w:color w:val="auto"/>
                <w:sz w:val="24"/>
                <w:szCs w:val="24"/>
              </w:rPr>
              <w:t>否</w:t>
            </w:r>
          </w:p>
        </w:tc>
      </w:tr>
    </w:tbl>
    <w:p>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本采购包接受联合体投标。</w:t>
      </w:r>
    </w:p>
    <w:p>
      <w:pPr>
        <w:spacing w:line="480" w:lineRule="exact"/>
        <w:ind w:firstLine="480"/>
        <w:rPr>
          <w:rFonts w:ascii="宋体" w:hAnsi="宋体" w:cs="宋体"/>
          <w:sz w:val="24"/>
          <w:szCs w:val="24"/>
        </w:rPr>
      </w:pPr>
      <w:r>
        <w:rPr>
          <w:rFonts w:hint="eastAsia" w:ascii="宋体" w:hAnsi="宋体" w:cs="宋体"/>
          <w:color w:val="auto"/>
          <w:sz w:val="24"/>
          <w:szCs w:val="24"/>
        </w:rPr>
        <w:t>合同分包：不允许合同分包</w:t>
      </w:r>
    </w:p>
    <w:p>
      <w:pPr>
        <w:spacing w:line="480" w:lineRule="exact"/>
        <w:ind w:firstLine="480" w:firstLineChars="200"/>
        <w:rPr>
          <w:rFonts w:ascii="宋体" w:hAnsi="宋体" w:cs="宋体"/>
          <w:sz w:val="24"/>
          <w:szCs w:val="24"/>
        </w:rPr>
      </w:pPr>
      <w:r>
        <w:rPr>
          <w:rFonts w:hint="eastAsia" w:ascii="宋体" w:hAnsi="宋体" w:cs="宋体"/>
          <w:sz w:val="24"/>
          <w:szCs w:val="24"/>
        </w:rPr>
        <w:t>合同履行期限：自合同签订生效之日起至</w:t>
      </w:r>
      <w:r>
        <w:rPr>
          <w:rFonts w:hint="eastAsia" w:ascii="宋体" w:hAnsi="宋体" w:cs="宋体"/>
          <w:sz w:val="24"/>
          <w:szCs w:val="24"/>
          <w:shd w:val="clear" w:color="auto" w:fill="FFFFFF"/>
        </w:rPr>
        <w:t>合同所约定的全部义务履行完毕之日止。</w:t>
      </w:r>
    </w:p>
    <w:p>
      <w:pPr>
        <w:autoSpaceDE w:val="0"/>
        <w:autoSpaceDN w:val="0"/>
        <w:adjustRightInd w:val="0"/>
        <w:spacing w:line="480" w:lineRule="exact"/>
        <w:ind w:firstLine="481" w:firstLineChars="200"/>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第二条 投标人资格要求</w:t>
      </w:r>
    </w:p>
    <w:p>
      <w:pPr>
        <w:spacing w:line="480" w:lineRule="exact"/>
        <w:ind w:firstLine="481" w:firstLineChars="200"/>
        <w:outlineLvl w:val="1"/>
        <w:rPr>
          <w:rFonts w:ascii="宋体" w:hAnsi="宋体"/>
          <w:b/>
          <w:sz w:val="24"/>
          <w:szCs w:val="24"/>
        </w:rPr>
      </w:pPr>
      <w:r>
        <w:rPr>
          <w:rFonts w:hint="eastAsia" w:ascii="宋体" w:hAnsi="宋体"/>
          <w:b/>
          <w:sz w:val="24"/>
          <w:szCs w:val="24"/>
        </w:rPr>
        <w:t>1.投标人应具备《中华人民共和国政府采购法》 第二十二条规定的条件，提供下列材料：</w:t>
      </w:r>
    </w:p>
    <w:p>
      <w:pPr>
        <w:spacing w:line="480" w:lineRule="exact"/>
        <w:ind w:firstLine="480" w:firstLineChars="200"/>
        <w:rPr>
          <w:rFonts w:ascii="宋体" w:hAnsi="宋体" w:cs="宋体"/>
          <w:color w:val="auto"/>
          <w:sz w:val="24"/>
          <w:szCs w:val="24"/>
          <w:highlight w:val="none"/>
        </w:rPr>
      </w:pPr>
      <w:r>
        <w:rPr>
          <w:rFonts w:hint="eastAsia" w:ascii="宋体" w:hAnsi="宋体"/>
          <w:sz w:val="24"/>
          <w:szCs w:val="24"/>
        </w:rPr>
        <w:t>1）</w:t>
      </w:r>
      <w:r>
        <w:rPr>
          <w:rFonts w:hint="eastAsia" w:ascii="宋体" w:hAnsi="宋体"/>
          <w:b/>
          <w:sz w:val="24"/>
          <w:szCs w:val="24"/>
        </w:rPr>
        <w:t>具有独立承担民事责任的能力：</w:t>
      </w:r>
      <w:r>
        <w:rPr>
          <w:rFonts w:hint="eastAsia" w:asciiTheme="minorEastAsia" w:hAnsiTheme="minorEastAsia" w:eastAsiaTheme="minorEastAsia"/>
          <w:sz w:val="24"/>
          <w:szCs w:val="24"/>
        </w:rPr>
        <w:t>在中华人民共和国境内注册的法人或其他组织或自然人，投标（响应）时提交有效的营业执照（或事业法人登记证或身份证等相关证明）副本复印件。若分支机构投标的，应当取得总公司（总所）出具给分支机构的有效授权，并同时提供总</w:t>
      </w:r>
      <w:r>
        <w:rPr>
          <w:rFonts w:hint="eastAsia" w:asciiTheme="minorEastAsia" w:hAnsiTheme="minorEastAsia" w:eastAsiaTheme="minorEastAsia"/>
          <w:color w:val="auto"/>
          <w:sz w:val="24"/>
          <w:szCs w:val="24"/>
          <w:highlight w:val="none"/>
        </w:rPr>
        <w:t>公司（总所）的营业执照、总公司（总所）出具给分支机构的有效授权书及分支机构的营业执照复印件</w:t>
      </w:r>
      <w:r>
        <w:rPr>
          <w:rFonts w:hint="eastAsia" w:ascii="宋体" w:hAnsi="宋体"/>
          <w:color w:val="auto"/>
          <w:sz w:val="24"/>
          <w:szCs w:val="24"/>
          <w:highlight w:val="none"/>
        </w:rPr>
        <w:t>。</w:t>
      </w:r>
      <w:r>
        <w:rPr>
          <w:rFonts w:hint="eastAsia" w:ascii="宋体" w:hAnsi="宋体" w:cs="宋体"/>
          <w:color w:val="auto"/>
          <w:sz w:val="24"/>
          <w:highlight w:val="none"/>
        </w:rPr>
        <w:t>（</w:t>
      </w:r>
      <w:r>
        <w:rPr>
          <w:rFonts w:hint="eastAsia" w:ascii="宋体" w:hAnsi="宋体" w:cs="宋体"/>
          <w:color w:val="auto"/>
          <w:sz w:val="24"/>
          <w:szCs w:val="24"/>
          <w:highlight w:val="none"/>
        </w:rPr>
        <w:t>若投标人以联合体形式参加投标（响应）的，则联合体所有方均须满足</w:t>
      </w:r>
      <w:r>
        <w:rPr>
          <w:rFonts w:hint="eastAsia" w:ascii="宋体" w:hAnsi="宋体" w:cs="宋体"/>
          <w:color w:val="auto"/>
          <w:sz w:val="24"/>
          <w:highlight w:val="none"/>
        </w:rPr>
        <w:t>）</w:t>
      </w:r>
    </w:p>
    <w:p>
      <w:pPr>
        <w:spacing w:line="480" w:lineRule="exact"/>
        <w:ind w:firstLine="481" w:firstLineChars="200"/>
        <w:rPr>
          <w:rFonts w:ascii="宋体" w:hAnsi="宋体" w:cs="宋体"/>
          <w:color w:val="auto"/>
          <w:sz w:val="24"/>
          <w:szCs w:val="24"/>
          <w:highlight w:val="none"/>
        </w:rPr>
      </w:pPr>
      <w:r>
        <w:rPr>
          <w:rFonts w:hint="eastAsia" w:ascii="宋体" w:hAnsi="宋体"/>
          <w:b/>
          <w:color w:val="auto"/>
          <w:sz w:val="24"/>
          <w:szCs w:val="24"/>
          <w:highlight w:val="none"/>
        </w:rPr>
        <w:t>2）有依法缴纳税收和社会保障资金的良好记录：</w:t>
      </w:r>
      <w:r>
        <w:rPr>
          <w:rFonts w:hint="eastAsia" w:ascii="宋体" w:hAnsi="宋体"/>
          <w:color w:val="auto"/>
          <w:sz w:val="24"/>
          <w:szCs w:val="24"/>
          <w:highlight w:val="none"/>
        </w:rPr>
        <w:t>提供2025年1月至今任意1个月的依法缴纳税收和社会保障资金的相关材料复印件；如依法免税或不需要缴纳社会保障资金的，应当提供相应证明文件复印件。</w:t>
      </w:r>
      <w:r>
        <w:rPr>
          <w:rFonts w:hint="eastAsia" w:ascii="宋体" w:hAnsi="宋体" w:cs="宋体"/>
          <w:color w:val="auto"/>
          <w:sz w:val="24"/>
          <w:highlight w:val="none"/>
        </w:rPr>
        <w:t>（</w:t>
      </w:r>
      <w:r>
        <w:rPr>
          <w:rFonts w:hint="eastAsia" w:ascii="宋体" w:hAnsi="宋体" w:cs="宋体"/>
          <w:color w:val="auto"/>
          <w:sz w:val="24"/>
          <w:szCs w:val="24"/>
          <w:highlight w:val="none"/>
        </w:rPr>
        <w:t>若投标人以联合体形式参加投标（响应）的，则联合体所有方均须满足</w:t>
      </w:r>
      <w:r>
        <w:rPr>
          <w:rFonts w:hint="eastAsia" w:ascii="宋体" w:hAnsi="宋体" w:cs="宋体"/>
          <w:color w:val="auto"/>
          <w:sz w:val="24"/>
          <w:highlight w:val="none"/>
        </w:rPr>
        <w:t>）</w:t>
      </w:r>
    </w:p>
    <w:p>
      <w:pPr>
        <w:spacing w:line="480" w:lineRule="exact"/>
        <w:ind w:firstLine="481" w:firstLineChars="200"/>
        <w:rPr>
          <w:rFonts w:ascii="宋体" w:hAnsi="宋体" w:cs="宋体"/>
          <w:color w:val="auto"/>
          <w:sz w:val="24"/>
          <w:szCs w:val="24"/>
          <w:highlight w:val="none"/>
        </w:rPr>
      </w:pPr>
      <w:r>
        <w:rPr>
          <w:rFonts w:hint="eastAsia" w:ascii="宋体" w:hAnsi="宋体"/>
          <w:b/>
          <w:color w:val="auto"/>
          <w:sz w:val="24"/>
          <w:szCs w:val="24"/>
          <w:highlight w:val="none"/>
        </w:rPr>
        <w:t>3）具有良好的商业信誉和健全的财务会计制度：</w:t>
      </w:r>
      <w:r>
        <w:rPr>
          <w:rFonts w:hint="eastAsia" w:ascii="宋体" w:hAnsi="宋体"/>
          <w:color w:val="auto"/>
          <w:sz w:val="24"/>
          <w:szCs w:val="24"/>
          <w:highlight w:val="none"/>
        </w:rPr>
        <w:t>提供2024年度财务状况报告或2025年1月至今任意1个月的财务报表或银行出具的资信证明复印件。</w:t>
      </w:r>
      <w:r>
        <w:rPr>
          <w:rFonts w:hint="eastAsia" w:ascii="宋体" w:hAnsi="宋体" w:cs="宋体"/>
          <w:color w:val="auto"/>
          <w:sz w:val="24"/>
          <w:highlight w:val="none"/>
        </w:rPr>
        <w:t>（</w:t>
      </w:r>
      <w:r>
        <w:rPr>
          <w:rFonts w:hint="eastAsia" w:ascii="宋体" w:hAnsi="宋体" w:cs="宋体"/>
          <w:color w:val="auto"/>
          <w:sz w:val="24"/>
          <w:szCs w:val="24"/>
          <w:highlight w:val="none"/>
        </w:rPr>
        <w:t>若投标人以联合体形式参加投标（响应）的，则联合体所有方均须满足</w:t>
      </w:r>
      <w:r>
        <w:rPr>
          <w:rFonts w:hint="eastAsia" w:ascii="宋体" w:hAnsi="宋体" w:cs="宋体"/>
          <w:color w:val="auto"/>
          <w:sz w:val="24"/>
          <w:highlight w:val="none"/>
        </w:rPr>
        <w:t>）</w:t>
      </w:r>
    </w:p>
    <w:p>
      <w:pPr>
        <w:spacing w:line="480" w:lineRule="exact"/>
        <w:ind w:firstLine="481" w:firstLineChars="200"/>
        <w:rPr>
          <w:rFonts w:ascii="宋体" w:hAnsi="宋体" w:cs="宋体"/>
          <w:color w:val="auto"/>
          <w:sz w:val="24"/>
          <w:szCs w:val="24"/>
          <w:highlight w:val="none"/>
        </w:rPr>
      </w:pPr>
      <w:r>
        <w:rPr>
          <w:rFonts w:hint="eastAsia" w:ascii="宋体" w:hAnsi="宋体"/>
          <w:b/>
          <w:color w:val="auto"/>
          <w:sz w:val="24"/>
          <w:szCs w:val="24"/>
          <w:highlight w:val="none"/>
        </w:rPr>
        <w:t>4）履行合同所必须的设备和专业技术能力：</w:t>
      </w:r>
      <w:r>
        <w:rPr>
          <w:rFonts w:hint="eastAsia" w:ascii="宋体" w:hAnsi="宋体"/>
          <w:color w:val="auto"/>
          <w:sz w:val="24"/>
          <w:szCs w:val="24"/>
          <w:highlight w:val="none"/>
        </w:rPr>
        <w:t>填报设备及专业技术能力情况或作出相应承诺（格式自拟）。</w:t>
      </w:r>
      <w:r>
        <w:rPr>
          <w:rFonts w:hint="eastAsia" w:ascii="宋体" w:hAnsi="宋体" w:cs="宋体"/>
          <w:color w:val="auto"/>
          <w:sz w:val="24"/>
          <w:highlight w:val="none"/>
        </w:rPr>
        <w:t>（</w:t>
      </w:r>
      <w:r>
        <w:rPr>
          <w:rFonts w:hint="eastAsia" w:ascii="宋体" w:hAnsi="宋体" w:cs="宋体"/>
          <w:color w:val="auto"/>
          <w:sz w:val="24"/>
          <w:szCs w:val="24"/>
          <w:highlight w:val="none"/>
        </w:rPr>
        <w:t>若投标人以联合体形式参加投标（响应）的，则联合体所有方均须满足</w:t>
      </w:r>
      <w:r>
        <w:rPr>
          <w:rFonts w:hint="eastAsia" w:ascii="宋体" w:hAnsi="宋体" w:cs="宋体"/>
          <w:color w:val="auto"/>
          <w:sz w:val="24"/>
          <w:highlight w:val="none"/>
        </w:rPr>
        <w:t>）</w:t>
      </w:r>
    </w:p>
    <w:p>
      <w:pPr>
        <w:spacing w:line="480" w:lineRule="exact"/>
        <w:ind w:firstLine="481" w:firstLineChars="200"/>
        <w:rPr>
          <w:rFonts w:ascii="宋体" w:hAnsi="宋体"/>
          <w:color w:val="auto"/>
          <w:sz w:val="24"/>
          <w:szCs w:val="24"/>
          <w:highlight w:val="none"/>
        </w:rPr>
      </w:pPr>
      <w:r>
        <w:rPr>
          <w:rFonts w:hint="eastAsia" w:ascii="宋体" w:hAnsi="宋体"/>
          <w:b/>
          <w:color w:val="auto"/>
          <w:sz w:val="24"/>
          <w:szCs w:val="24"/>
          <w:highlight w:val="none"/>
        </w:rPr>
        <w:t>5）参加采购活动前3年内， 在经营活动中没有重大违法记录：</w:t>
      </w:r>
      <w:r>
        <w:rPr>
          <w:rFonts w:hint="eastAsia" w:ascii="宋体" w:hAnsi="宋体"/>
          <w:color w:val="auto"/>
          <w:sz w:val="24"/>
          <w:szCs w:val="24"/>
          <w:highlight w:val="none"/>
        </w:rPr>
        <w:t>参照投标（报价）函相关承诺格式内容。重大违法记录，是指供应商因违法经营受到刑事处罚或者责令停产停业、吊销许可证或者执照、较大数额罚款等行政处罚。（较大数额罚款按照《财政部关于&lt;中华人民共和国政府采购法实施条例&gt;第十九条第一款“较大数额罚款”具体适用问题的意见》（财库〔2022〕3号）执行</w:t>
      </w:r>
      <w:r>
        <w:rPr>
          <w:rFonts w:ascii="宋体" w:hAnsi="宋体"/>
          <w:color w:val="auto"/>
          <w:sz w:val="24"/>
          <w:szCs w:val="24"/>
          <w:highlight w:val="none"/>
        </w:rPr>
        <w:t>）</w:t>
      </w:r>
      <w:r>
        <w:rPr>
          <w:rFonts w:hint="eastAsia" w:ascii="宋体" w:hAnsi="宋体" w:cs="宋体"/>
          <w:color w:val="auto"/>
          <w:sz w:val="24"/>
          <w:highlight w:val="none"/>
        </w:rPr>
        <w:t>（</w:t>
      </w:r>
      <w:r>
        <w:rPr>
          <w:rFonts w:hint="eastAsia" w:ascii="宋体" w:hAnsi="宋体" w:cs="宋体"/>
          <w:color w:val="auto"/>
          <w:sz w:val="24"/>
          <w:szCs w:val="24"/>
          <w:highlight w:val="none"/>
        </w:rPr>
        <w:t>若投标人以联合体形式参加投标（响应）的，则联合体所有方均须满足</w:t>
      </w:r>
      <w:r>
        <w:rPr>
          <w:rFonts w:hint="eastAsia" w:ascii="宋体" w:hAnsi="宋体" w:cs="宋体"/>
          <w:color w:val="auto"/>
          <w:sz w:val="24"/>
          <w:highlight w:val="none"/>
        </w:rPr>
        <w:t>）</w:t>
      </w:r>
    </w:p>
    <w:p>
      <w:pPr>
        <w:spacing w:line="480" w:lineRule="exact"/>
        <w:ind w:firstLine="481" w:firstLineChars="200"/>
        <w:outlineLvl w:val="1"/>
        <w:rPr>
          <w:rFonts w:ascii="宋体" w:hAnsi="宋体"/>
          <w:b/>
          <w:color w:val="auto"/>
          <w:sz w:val="24"/>
          <w:szCs w:val="24"/>
          <w:highlight w:val="none"/>
        </w:rPr>
      </w:pPr>
      <w:r>
        <w:rPr>
          <w:rFonts w:hint="eastAsia" w:ascii="宋体" w:hAnsi="宋体"/>
          <w:b/>
          <w:color w:val="auto"/>
          <w:sz w:val="24"/>
          <w:szCs w:val="24"/>
          <w:highlight w:val="none"/>
        </w:rPr>
        <w:t>2.落实政府采购政策需满足的资格要求：</w:t>
      </w:r>
    </w:p>
    <w:p>
      <w:pPr>
        <w:spacing w:line="480" w:lineRule="exact"/>
        <w:ind w:firstLine="480" w:firstLineChars="200"/>
        <w:jc w:val="left"/>
        <w:rPr>
          <w:rFonts w:ascii="宋体" w:hAnsi="宋体" w:cs="宋体"/>
          <w:color w:val="auto"/>
          <w:sz w:val="24"/>
          <w:highlight w:val="none"/>
          <w:shd w:val="clear" w:color="auto" w:fill="FFFFFF"/>
        </w:rPr>
      </w:pPr>
      <w:r>
        <w:rPr>
          <w:rFonts w:hint="eastAsia" w:ascii="宋体" w:hAnsi="宋体"/>
          <w:color w:val="auto"/>
          <w:sz w:val="24"/>
          <w:szCs w:val="24"/>
          <w:highlight w:val="none"/>
        </w:rPr>
        <w:t>采购包1（</w:t>
      </w:r>
      <w:r>
        <w:rPr>
          <w:rFonts w:hint="eastAsia" w:asciiTheme="minorEastAsia" w:hAnsiTheme="minorEastAsia" w:eastAsiaTheme="minorEastAsia"/>
          <w:color w:val="auto"/>
          <w:sz w:val="24"/>
          <w:szCs w:val="24"/>
          <w:highlight w:val="none"/>
          <w:lang w:eastAsia="zh-CN"/>
        </w:rPr>
        <w:t>江门市中小企业数字化转型城市试点智库服务及数字化水平诊断服务</w:t>
      </w:r>
      <w:r>
        <w:rPr>
          <w:rFonts w:hint="eastAsia" w:ascii="宋体" w:hAnsi="宋体"/>
          <w:color w:val="auto"/>
          <w:sz w:val="24"/>
          <w:szCs w:val="24"/>
          <w:highlight w:val="none"/>
        </w:rPr>
        <w:t>）：</w:t>
      </w:r>
      <w:r>
        <w:rPr>
          <w:rFonts w:hint="eastAsia" w:ascii="宋体" w:hAnsi="宋体" w:cs="宋体"/>
          <w:color w:val="auto"/>
          <w:sz w:val="24"/>
          <w:highlight w:val="none"/>
        </w:rPr>
        <w:t>本采购包以联合体形式预留合同总金额的40%或以上份额专门面向中小企业（监狱企业、残疾人福利性单位视同小型、微型企业，下同）采购。对于</w:t>
      </w:r>
      <w:r>
        <w:rPr>
          <w:rFonts w:hint="eastAsia" w:ascii="宋体" w:hAnsi="宋体" w:cs="宋体"/>
          <w:color w:val="auto"/>
          <w:sz w:val="24"/>
          <w:highlight w:val="none"/>
          <w:shd w:val="clear" w:color="auto" w:fill="FFFFFF"/>
        </w:rPr>
        <w:t>上述预留份额，供应商可选择以下其中一种措施进行：</w:t>
      </w:r>
    </w:p>
    <w:p>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shd w:val="clear" w:color="auto" w:fill="FFFFFF"/>
        </w:rPr>
        <w:t>（1）供应商若以自己名义单独参与本采购包投标</w:t>
      </w:r>
      <w:r>
        <w:rPr>
          <w:rFonts w:hint="eastAsia" w:ascii="宋体" w:hAnsi="宋体" w:cs="宋体"/>
          <w:color w:val="auto"/>
          <w:sz w:val="24"/>
          <w:highlight w:val="none"/>
        </w:rPr>
        <w:t>（响应）</w:t>
      </w:r>
      <w:r>
        <w:rPr>
          <w:rFonts w:hint="eastAsia" w:ascii="宋体" w:hAnsi="宋体" w:cs="宋体"/>
          <w:color w:val="auto"/>
          <w:sz w:val="24"/>
          <w:highlight w:val="none"/>
          <w:shd w:val="clear" w:color="auto" w:fill="FFFFFF"/>
        </w:rPr>
        <w:t>的，供应商须为符合政策要求的中小企业。</w:t>
      </w:r>
      <w:r>
        <w:rPr>
          <w:rFonts w:hint="eastAsia" w:ascii="宋体" w:hAnsi="宋体" w:cs="宋体"/>
          <w:color w:val="auto"/>
          <w:kern w:val="0"/>
          <w:sz w:val="24"/>
          <w:highlight w:val="none"/>
        </w:rPr>
        <w:t>【投标时须按格式提供</w:t>
      </w:r>
      <w:r>
        <w:rPr>
          <w:rFonts w:hint="eastAsia" w:ascii="宋体" w:hAnsi="宋体" w:cs="宋体"/>
          <w:color w:val="auto"/>
          <w:sz w:val="24"/>
          <w:highlight w:val="none"/>
        </w:rPr>
        <w:t>《中小企业声明函》（工程、服务）；若</w:t>
      </w:r>
      <w:r>
        <w:rPr>
          <w:rFonts w:hint="eastAsia" w:ascii="宋体" w:hAnsi="宋体" w:cs="宋体"/>
          <w:color w:val="auto"/>
          <w:kern w:val="0"/>
          <w:sz w:val="24"/>
          <w:highlight w:val="none"/>
        </w:rPr>
        <w:t>供应商为</w:t>
      </w:r>
      <w:r>
        <w:rPr>
          <w:rFonts w:hint="eastAsia" w:ascii="宋体" w:hAnsi="宋体" w:cs="宋体"/>
          <w:color w:val="auto"/>
          <w:sz w:val="24"/>
          <w:highlight w:val="none"/>
        </w:rPr>
        <w:t>残疾人福利性单位或监狱企业的，则提供《残疾人福利性单位声明函》或由省级以上监狱管理局、戒毒管理局（含新疆生产建设兵团）出具的属于监狱企业的证明文件复印件】</w:t>
      </w:r>
    </w:p>
    <w:p>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shd w:val="clear" w:color="auto" w:fill="FFFFFF"/>
        </w:rPr>
        <w:t>（2）供应商若</w:t>
      </w:r>
      <w:r>
        <w:rPr>
          <w:rFonts w:hint="eastAsia" w:ascii="宋体" w:hAnsi="宋体" w:cs="宋体"/>
          <w:color w:val="auto"/>
          <w:sz w:val="24"/>
          <w:highlight w:val="none"/>
        </w:rPr>
        <w:t>以联合体形式参与</w:t>
      </w:r>
      <w:r>
        <w:rPr>
          <w:rFonts w:hint="eastAsia" w:ascii="宋体" w:hAnsi="宋体" w:cs="宋体"/>
          <w:color w:val="auto"/>
          <w:sz w:val="24"/>
          <w:highlight w:val="none"/>
          <w:shd w:val="clear" w:color="auto" w:fill="FFFFFF"/>
        </w:rPr>
        <w:t>本采购包</w:t>
      </w:r>
      <w:r>
        <w:rPr>
          <w:rFonts w:hint="eastAsia" w:ascii="宋体" w:hAnsi="宋体" w:cs="宋体"/>
          <w:color w:val="auto"/>
          <w:sz w:val="24"/>
          <w:highlight w:val="none"/>
        </w:rPr>
        <w:t>投标（响应）的，须同时满足以下要求：①联合体中的中小企业承担的合同份额占合同总金额的比例须达到40%或以上，且</w:t>
      </w:r>
      <w:r>
        <w:rPr>
          <w:rFonts w:hint="eastAsia" w:ascii="宋体" w:hAnsi="宋体" w:cs="宋体"/>
          <w:color w:val="auto"/>
          <w:sz w:val="24"/>
          <w:highlight w:val="none"/>
          <w:shd w:val="clear" w:color="auto" w:fill="FFFFFF"/>
        </w:rPr>
        <w:t>联合体</w:t>
      </w:r>
      <w:r>
        <w:rPr>
          <w:rFonts w:hint="eastAsia" w:ascii="宋体" w:hAnsi="宋体" w:cs="宋体"/>
          <w:color w:val="auto"/>
          <w:sz w:val="24"/>
          <w:highlight w:val="none"/>
        </w:rPr>
        <w:t>成员数量不得超过两家；②参与本采购包投标（响应）的联合体各成员必须签订联合体共同投标协议书，明确约定中小企业所承担的合同份额占合同总金额的比例达到40%或以上、各方承担的工作内容及权利义务；③须确定其中一家联合体成员为联合体的牵头单位，且由联合体的牵头单位负责本采购包投标（响应）事宜；④组成联合体各成员不得再以自己的名义单独或与其他供应商组成联合体参与本采购包投标（响应），且组成联合体的中小企业与联合体内其他成员之间不得存在直接控股、管理关系（若招标文件对应章节的内容与本要求不一致的，以本要求为准）。【投标时须按格式提供符合上述比例的《联合体共同投标协议书》、承担上述份额的中小企业的《中小企业声明函》（工程、服务）（若承担上述份额的联合体成员为残疾人福利性单位或监狱企业的，则提供《残疾人福利性单位声明函》或由省级以上监狱管理局、戒毒管理局（含新疆生产建设兵团）出具的属于监狱企业的证明文件复印件】</w:t>
      </w:r>
    </w:p>
    <w:p>
      <w:pPr>
        <w:spacing w:line="480" w:lineRule="exact"/>
        <w:ind w:firstLine="480" w:firstLineChars="200"/>
        <w:rPr>
          <w:rFonts w:ascii="宋体" w:hAnsi="宋体"/>
          <w:color w:val="auto"/>
          <w:sz w:val="24"/>
          <w:szCs w:val="24"/>
          <w:highlight w:val="none"/>
        </w:rPr>
      </w:pPr>
      <w:r>
        <w:rPr>
          <w:rFonts w:hint="eastAsia" w:ascii="宋体" w:hAnsi="宋体" w:cs="宋体"/>
          <w:color w:val="auto"/>
          <w:sz w:val="24"/>
          <w:highlight w:val="none"/>
          <w:shd w:val="clear" w:color="auto" w:fill="FFFFFF"/>
        </w:rPr>
        <w:t>注：</w:t>
      </w:r>
      <w:r>
        <w:rPr>
          <w:rFonts w:hint="eastAsia" w:ascii="宋体" w:hAnsi="宋体" w:cs="宋体"/>
          <w:color w:val="auto"/>
          <w:sz w:val="24"/>
          <w:highlight w:val="none"/>
        </w:rPr>
        <w:t>本采购标的对应的中小企业划分标准所属行业：</w:t>
      </w:r>
      <w:r>
        <w:rPr>
          <w:rFonts w:hint="eastAsia" w:ascii="宋体" w:hAnsi="宋体" w:cs="宋体"/>
          <w:color w:val="auto"/>
          <w:sz w:val="24"/>
          <w:highlight w:val="none"/>
          <w:u w:val="single"/>
        </w:rPr>
        <w:t>其他未列明行业。</w:t>
      </w:r>
    </w:p>
    <w:p>
      <w:pPr>
        <w:spacing w:line="480" w:lineRule="exact"/>
        <w:ind w:firstLine="481" w:firstLineChars="200"/>
        <w:outlineLvl w:val="1"/>
        <w:rPr>
          <w:rFonts w:ascii="宋体" w:hAnsi="宋体"/>
          <w:b/>
          <w:color w:val="auto"/>
          <w:sz w:val="24"/>
          <w:szCs w:val="24"/>
          <w:highlight w:val="none"/>
        </w:rPr>
      </w:pPr>
      <w:r>
        <w:rPr>
          <w:rFonts w:hint="eastAsia" w:ascii="宋体" w:hAnsi="宋体"/>
          <w:b/>
          <w:color w:val="auto"/>
          <w:sz w:val="24"/>
          <w:szCs w:val="24"/>
          <w:highlight w:val="none"/>
        </w:rPr>
        <w:t>3.本项目特定的资格要求：</w:t>
      </w:r>
    </w:p>
    <w:p>
      <w:pPr>
        <w:spacing w:line="480" w:lineRule="exact"/>
        <w:ind w:firstLine="480" w:firstLineChars="200"/>
        <w:rPr>
          <w:rFonts w:ascii="宋体" w:hAnsi="宋体"/>
          <w:sz w:val="24"/>
          <w:szCs w:val="24"/>
        </w:rPr>
      </w:pPr>
      <w:r>
        <w:rPr>
          <w:rFonts w:hint="eastAsia" w:ascii="宋体" w:hAnsi="宋体"/>
          <w:sz w:val="24"/>
          <w:szCs w:val="24"/>
        </w:rPr>
        <w:t>合同包1（</w:t>
      </w:r>
      <w:r>
        <w:rPr>
          <w:rFonts w:hint="eastAsia" w:asciiTheme="minorEastAsia" w:hAnsiTheme="minorEastAsia" w:eastAsiaTheme="minorEastAsia"/>
          <w:sz w:val="24"/>
          <w:szCs w:val="24"/>
          <w:lang w:eastAsia="zh-CN"/>
        </w:rPr>
        <w:t>江门市中小企业数字化转型城市试点智库服务及数字化水平诊断服务</w:t>
      </w:r>
      <w:r>
        <w:rPr>
          <w:rFonts w:hint="eastAsia" w:ascii="宋体" w:hAnsi="宋体"/>
          <w:sz w:val="24"/>
          <w:szCs w:val="24"/>
        </w:rPr>
        <w:t>）：</w:t>
      </w:r>
    </w:p>
    <w:p>
      <w:pPr>
        <w:spacing w:line="480" w:lineRule="exact"/>
        <w:ind w:firstLine="480" w:firstLineChars="200"/>
        <w:rPr>
          <w:rFonts w:ascii="宋体" w:hAnsi="宋体"/>
          <w:color w:val="auto"/>
          <w:sz w:val="24"/>
          <w:szCs w:val="24"/>
          <w:highlight w:val="none"/>
        </w:rPr>
      </w:pPr>
      <w:r>
        <w:rPr>
          <w:rFonts w:hint="eastAsia" w:ascii="宋体" w:hAnsi="宋体"/>
          <w:sz w:val="24"/>
          <w:szCs w:val="24"/>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r>
        <w:rPr>
          <w:rFonts w:hint="eastAsia" w:hAnsi="宋体"/>
          <w:sz w:val="24"/>
          <w:szCs w:val="24"/>
        </w:rPr>
        <w:t>。</w:t>
      </w:r>
      <w:r>
        <w:rPr>
          <w:rFonts w:hint="eastAsia" w:ascii="宋体" w:hAnsi="宋体"/>
          <w:sz w:val="24"/>
          <w:szCs w:val="24"/>
        </w:rPr>
        <w:t>（以投标（响应）截止时间当天采购代理机构通过“信用中国”网站（</w:t>
      </w:r>
      <w:r>
        <w:rPr>
          <w:rFonts w:hint="eastAsia" w:ascii="宋体" w:hAnsi="宋体"/>
          <w:color w:val="auto"/>
          <w:sz w:val="24"/>
          <w:szCs w:val="24"/>
          <w:highlight w:val="none"/>
        </w:rPr>
        <w:t>www.creditchina.gov.cn）、中国政府采购网（www.ccgp.gov.cn）查询供应商信用记录为准，如相关失信记录已失效，应当提供相应证明文件复印件）</w:t>
      </w:r>
      <w:r>
        <w:rPr>
          <w:rFonts w:hint="eastAsia" w:ascii="宋体" w:hAnsi="宋体" w:cs="宋体"/>
          <w:color w:val="auto"/>
          <w:sz w:val="24"/>
          <w:highlight w:val="none"/>
        </w:rPr>
        <w:t>（</w:t>
      </w:r>
      <w:r>
        <w:rPr>
          <w:rFonts w:hint="eastAsia" w:ascii="宋体" w:hAnsi="宋体" w:cs="宋体"/>
          <w:color w:val="auto"/>
          <w:sz w:val="24"/>
          <w:szCs w:val="24"/>
          <w:highlight w:val="none"/>
        </w:rPr>
        <w:t>若投标人以联合体形式参加投标（响应）的，则联合体所有方均须满足</w:t>
      </w:r>
      <w:r>
        <w:rPr>
          <w:rFonts w:hint="eastAsia" w:ascii="宋体" w:hAnsi="宋体" w:cs="宋体"/>
          <w:color w:val="auto"/>
          <w:sz w:val="24"/>
          <w:highlight w:val="none"/>
        </w:rPr>
        <w:t>）</w:t>
      </w:r>
    </w:p>
    <w:p>
      <w:pPr>
        <w:spacing w:line="480" w:lineRule="exact"/>
        <w:ind w:firstLine="480" w:firstLineChars="200"/>
        <w:rPr>
          <w:rFonts w:ascii="宋体" w:hAnsi="宋体" w:cs="宋体"/>
          <w:color w:val="auto"/>
          <w:sz w:val="24"/>
          <w:highlight w:val="none"/>
        </w:rPr>
      </w:pPr>
      <w:r>
        <w:rPr>
          <w:rFonts w:hint="eastAsia" w:ascii="宋体" w:hAnsi="宋体"/>
          <w:color w:val="auto"/>
          <w:sz w:val="24"/>
          <w:szCs w:val="24"/>
          <w:highlight w:val="none"/>
        </w:rPr>
        <w:t>2）</w:t>
      </w:r>
      <w:r>
        <w:rPr>
          <w:rFonts w:asciiTheme="minorEastAsia" w:hAnsiTheme="minorEastAsia" w:eastAsiaTheme="minorEastAsia"/>
          <w:color w:val="auto"/>
          <w:sz w:val="24"/>
          <w:szCs w:val="24"/>
          <w:highlight w:val="none"/>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r>
        <w:rPr>
          <w:rFonts w:hint="eastAsia" w:ascii="宋体" w:hAnsi="宋体"/>
          <w:color w:val="auto"/>
          <w:sz w:val="24"/>
          <w:szCs w:val="24"/>
          <w:highlight w:val="none"/>
        </w:rPr>
        <w:t>。</w:t>
      </w:r>
      <w:r>
        <w:rPr>
          <w:rFonts w:hint="eastAsia" w:ascii="宋体" w:hAnsi="宋体" w:cs="宋体"/>
          <w:color w:val="auto"/>
          <w:sz w:val="24"/>
          <w:highlight w:val="none"/>
        </w:rPr>
        <w:t>（</w:t>
      </w:r>
      <w:r>
        <w:rPr>
          <w:rFonts w:hint="eastAsia" w:ascii="宋体" w:hAnsi="宋体" w:cs="宋体"/>
          <w:color w:val="auto"/>
          <w:sz w:val="24"/>
          <w:szCs w:val="24"/>
          <w:highlight w:val="none"/>
        </w:rPr>
        <w:t>若投标人以联合体形式参加投标（响应）的，则联合体所有方均须满足</w:t>
      </w:r>
      <w:r>
        <w:rPr>
          <w:rFonts w:hint="eastAsia" w:ascii="宋体" w:hAnsi="宋体" w:cs="宋体"/>
          <w:color w:val="auto"/>
          <w:sz w:val="24"/>
          <w:highlight w:val="none"/>
        </w:rPr>
        <w:t>）</w:t>
      </w:r>
    </w:p>
    <w:p>
      <w:pPr>
        <w:autoSpaceDE w:val="0"/>
        <w:autoSpaceDN w:val="0"/>
        <w:adjustRightInd w:val="0"/>
        <w:spacing w:line="480" w:lineRule="exact"/>
        <w:ind w:firstLine="481" w:firstLineChars="200"/>
        <w:outlineLvl w:val="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第三条 采购需求</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一、项目背景</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为坚决贯彻党中央、国务院关于推动中小企业数字化转型升级的各项战略安排，推进江门市相关工作精准落地、取得实效，根据《财政部办公厅 工业和信息化部办公厅关于做好2025年中小企业数字化转型城市试点工作的通知》（财办建〔2025〕20号）、《广东省工业和信息化厅 广东省财政厅关于做好中小企业数字化转型城市试点资金管理工作的通知》（粤工信工业互联网函〔2024〕57号）、《江门市中小企业数字化转型城市试点专项资金实施细则》（江工信工业互联网〔2025〕3号）等工作要求，江门市工业和信息化局拟采用政府购买服务模式，引入具备专业能力的第三方智库支撑服务与数字化水平评测服务，围绕顶层设计、路径规划、规范研制、过程管理及绩效评价等关键阶段，系统推动江门市中小企业实现数字化转型升级。</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二、服务内容</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szCs w:val="24"/>
          <w:highlight w:val="none"/>
          <w:lang w:eastAsia="zh-CN"/>
        </w:rPr>
        <w:t>江门市中小企业数字化转型城市试点智库服务</w:t>
      </w:r>
      <w:r>
        <w:rPr>
          <w:rFonts w:hint="eastAsia" w:ascii="宋体" w:hAnsi="宋体" w:cs="宋体"/>
          <w:color w:val="auto"/>
          <w:sz w:val="24"/>
          <w:szCs w:val="24"/>
          <w:highlight w:val="none"/>
        </w:rPr>
        <w:t>要求（包括以下内容）：</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人需为江门市中小企业数字化转型城市试点工作推进提供第三方智库支撑服务，涉及试点工作咨询规划、项目申报管理文件制定、数字化服务商（含数字化牵引单位，下同）遴选与动态管理、数字化产品遴选与动态管理、转型样板与链式转型案例遴选、一企一档管理与服务、过程监督、支撑行业转型指南编制、与国家级数转平台数据对接等重点事项。主要工作内容涵盖：</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1.协助搭建包括决策辅助、组织实施、协调对接、数据分析、专家支撑等在内的运营协同机制，协助开展城市试点全流程跟踪监督，配合调度中小企业及相关数字化服务商推动任务高效实施。</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设计阶段任务推进表，编制工作推进方案、项目申报管理办法等文件，针对中小企业申报、服务商管理、标杆示范培育等核心环节提供具体操作规程与步骤说明，制定规范性模版及指引，界定各环节的实施路径、重点任务、方法程序和输出结果，推进转型流程标准化。</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协助开展数字化服务商遴选与管理工作。支撑制定数字化服务商遴选方案、评审工作方案，协助组织数字化服务商申报、审核及专家评审工作。支撑形成数字化服务商管理及评价机制，协助对数字化牵引单位以及合作数字化改造服务商开展全过程指导服务、动态管理、服务质量监督。支撑制定数字化牵引单位产品和服务供给能力提升奖励项目评定标准，组织申报、审核和评审工作。</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协助开展数字化产品遴选与管理工作。支撑制定数字化产品遴选方案、评审工作方案，协助组织数字化产品申报、审核及专家评审工作。支撑制定优选产品遴选方案，协助组织优选产品申报、审核及专家评审工作。支撑形成数字化产品管理机制。</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5.协助开展试点企业全流程管理。支撑试点企业征集、事前评测、项目签约、项目实施、项目完工、事后评估、项目入库等全周期管理。协助组织第三方验收机构开展数字化改造项目验收。</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6.协助开展转型样板与链式转型案例遴选工作。支撑制定中小企业数字化转型样板建设项目、“链式”中小企业数字化转型支持项目的遴选方案、评审工作方案，协助组织项目申报、审核和专家评审工作。</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协助梳理典型案例集。对转型效果突出、投入产出比高、可复制性强的企业改造案例、“链式”转型模式案例、集群转型模式案例进行梳理总结，分析提炼企业改造案例的场景需求、具体路径、特色举措、改造成效等。</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8.支撑试点工作改造效果总结。通过调研分析，对江门市试点改造的成效进行客观评价，支撑编制江门市中小企业数字化转型成果报告，并形成行业数字化转型指南等成果。</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响应主管部门安排，协助完成中期与期末绩效评估，对项目推进、目标落实、资金使用和长效机制构建等开展系统评判，整理绩效报告、证明材料及汇报文件，并基于评审要点归纳、核查依据设定、现场核查程序设计和问题整改动态跟踪，协助实地复查。</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支撑实现试点企业“一企一档”。以信息化方式，提供覆盖“服务商申报及产品申报-优选产品推荐-产品上架”、“中小企业征集-事前评测-项目实施-项目完工-事后评估-项目入库”等全周期的线上管理，实现中小企业数字化转型试点工作的全流程数字化闭环管理、全链条监管和全资源集成，辅助城市试点工作高质量高效率推进。</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11.与国家级数转平台数据对接。将经采购人确认的试点工作相关数据对接至全国中小企业数字化转型服务平台。</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eastAsia="zh-CN"/>
        </w:rPr>
        <w:t>江门市中小企业数字化转型城市试点数字化水平诊断服务</w:t>
      </w:r>
      <w:r>
        <w:rPr>
          <w:rFonts w:hint="eastAsia" w:ascii="宋体" w:hAnsi="宋体" w:cs="宋体"/>
          <w:color w:val="auto"/>
          <w:sz w:val="24"/>
          <w:szCs w:val="24"/>
          <w:highlight w:val="none"/>
        </w:rPr>
        <w:t>要求（包括以下内容）：</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人在江门市国家级中小企业数字化转型城市试点工作期间，依据工业和信息化部发布的《中小企业数字化水平评测指标（2024年版）》，针对五金制品及零配件、绿色环保消费品加工制造等两个细分行业及产业上下游企业，对不少于900家中小企业开展数字化水平评测工作。</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1.事前自评测结果复核。对试点企业在项目改造前的数字化水平自评测结果，进行审核与确认。</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制定中小企业改造后数字化水平评测工作方案。编制改造后数字化水平评测工作方案，明确评测工作目标、工作思路、工作内容、评测流程、评测团队等方面，规范中小企业数字化水平等级评测相关的材料模板。</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3.指导试点企业准备资料。对企业提供的相关佐证资料的完备程度进行初步审核，提出佐证材料优化意见和建议，指导企业做好评测准备工作。</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开展现场评测。评测团队结合评测目的、对象、指标及内容，通过人员访谈、材料核查、实地查看等方式，多方位采集评测证据，了解试点企业基本情况，搜集、整理和分析企业改造后数字化水平情况。同步查看试点企业数字化改造项目的系统应用情况、系统使用数据等方式，掌握试点企业数字化改造项目的实际应用情况。</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编制评测报告。结合资料及实地评测情况，判定企业数字化水平等级，编制企业数字化水平评测报告。评测报告应包含评测结论、现场评定记录等全流程文件和各采集项评定依据、系统截图、实物照片等证明材料。</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三、服务目标与成果要求</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（一）做好试点全过程监督、管理与指导</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完成五金制品及零配件、绿色环保消费品加工制造等2个细分行业的试点企业“一企一档”的建设与动态管理，完成试点企业征集、事前评测、项目签约、项目实施、项目完工、事后评估、项目入库等全周期的线上管理以及全过程支撑；</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2.完成数字化服务商管理办法，完成不少于120家数字化牵引单位以及合作数字化改造服务商的线上管理和全过程指导服务；</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3.完成数字化产品管理办法，完成不少于750个数字化产品的入库评审、清单建设、线上管理与动态评价；</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4.完成不少于30名专家的专家库建设与动态管理；</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5.完成国家级数转平台数据对接；</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6.对试点企业的改造前数字化评测结果复核，对改造后试点企业进行数字化水平实地评测，完成900家中小企业的数字化水平评测报告。</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（二）做好高质量成果输出</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1.梳理不少于50个典型案例，打造不少于5个国家或省级典型案例；</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2.编制不少于2份行业数字化转型指南；</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3.编制江门市中小企业数字化转型成果报告；</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4.编制中期及终期的绩效复核报告。</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四、服务标准</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（一）团队要求</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在项目服务过程中，投标人应组建提供稳定的服务团队，保障核心人员稳定，团队人数不少于20人（含），其中，派驻委托方驻点工作人员不少于2人。服务团队成员专业能力突出，配置合理，能够保障服务成果质量；具有明确实施项目的人员配置，包括组织结构、项目负责人、组成人员的资历信息及分工职责。</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2.投标人拟为本项目投入的服务团队人员应熟悉国家、省、市中小企业数字化转型相关政策文件，包括但不限于：《财政部 工业和信息化部关于开展中小企业数字化转型城市试点工作的通知》（财建〔2023〕117号）、《财政部办公厅 工业和信息化部办公厅关于做好2025年中小企业数字化转型城市试点工作的通知》（财办建〔2025〕20号）、《关于印发&lt;中小企业数字化转型城市试点实施指南&gt;的通知》（工企业函〔2024〕46号）、《广东省工业和信息化厅 广东省财政厅关于做好中小企业数字化转型城市试点资金管理工作的通知》（粤工信工业互联网函〔2024〕57号）。</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▲3.投标人拟为本项目投入的服务团队人员应熟练运用工业和信息化部发布的《中小企业数字化转型数字化水平评测指标（2024年版）》，能为企业开展水平评测等服务；</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4.人员学历及证书要求</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1578"/>
        <w:gridCol w:w="5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1" w:type="pct"/>
            <w:vAlign w:val="center"/>
          </w:tcPr>
          <w:p>
            <w:pPr>
              <w:spacing w:line="480" w:lineRule="exact"/>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序号</w:t>
            </w:r>
          </w:p>
        </w:tc>
        <w:tc>
          <w:tcPr>
            <w:tcW w:w="926" w:type="pct"/>
            <w:vAlign w:val="center"/>
          </w:tcPr>
          <w:p>
            <w:pPr>
              <w:spacing w:line="480" w:lineRule="exact"/>
              <w:jc w:val="center"/>
              <w:rPr>
                <w:rFonts w:ascii="宋体" w:hAnsi="宋体"/>
                <w:sz w:val="24"/>
              </w:rPr>
            </w:pPr>
            <w:r>
              <w:rPr>
                <w:rFonts w:hint="eastAsia" w:asciiTheme="minorEastAsia" w:hAnsiTheme="minorEastAsia" w:eastAsiaTheme="minorEastAsia"/>
                <w:bCs/>
                <w:sz w:val="24"/>
                <w:szCs w:val="24"/>
              </w:rPr>
              <w:t>岗位分工</w:t>
            </w:r>
          </w:p>
        </w:tc>
        <w:tc>
          <w:tcPr>
            <w:tcW w:w="3432" w:type="pct"/>
            <w:vAlign w:val="center"/>
          </w:tcPr>
          <w:p>
            <w:pPr>
              <w:spacing w:line="480" w:lineRule="exact"/>
              <w:jc w:val="center"/>
              <w:rPr>
                <w:rFonts w:ascii="宋体" w:hAnsi="宋体"/>
                <w:sz w:val="24"/>
                <w:szCs w:val="24"/>
              </w:rPr>
            </w:pPr>
            <w:r>
              <w:rPr>
                <w:rFonts w:hint="eastAsia" w:ascii="宋体" w:hAnsi="宋体"/>
                <w:sz w:val="24"/>
                <w:szCs w:val="24"/>
              </w:rPr>
              <w:t>人员学历及证书要求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641" w:type="pct"/>
            <w:vAlign w:val="center"/>
          </w:tcPr>
          <w:p>
            <w:pPr>
              <w:widowControl/>
              <w:jc w:val="center"/>
              <w:textAlignment w:val="top"/>
              <w:rPr>
                <w:rFonts w:ascii="宋体" w:hAnsi="宋体"/>
                <w:sz w:val="24"/>
              </w:rPr>
            </w:pPr>
            <w:r>
              <w:rPr>
                <w:rFonts w:hint="eastAsia" w:ascii="宋体" w:hAnsi="宋体"/>
                <w:sz w:val="24"/>
              </w:rPr>
              <w:t>1</w:t>
            </w:r>
          </w:p>
        </w:tc>
        <w:tc>
          <w:tcPr>
            <w:tcW w:w="926" w:type="pct"/>
            <w:vAlign w:val="center"/>
          </w:tcPr>
          <w:p>
            <w:pPr>
              <w:widowControl/>
              <w:textAlignment w:val="top"/>
              <w:rPr>
                <w:rFonts w:ascii="宋体" w:hAnsi="宋体"/>
                <w:sz w:val="24"/>
              </w:rPr>
            </w:pPr>
            <w:r>
              <w:rPr>
                <w:rFonts w:hint="eastAsia" w:ascii="宋体" w:hAnsi="宋体"/>
                <w:sz w:val="24"/>
              </w:rPr>
              <w:t>项目负责人</w:t>
            </w:r>
          </w:p>
        </w:tc>
        <w:tc>
          <w:tcPr>
            <w:tcW w:w="3432" w:type="pct"/>
            <w:vAlign w:val="center"/>
          </w:tcPr>
          <w:p>
            <w:pPr>
              <w:spacing w:line="480" w:lineRule="exact"/>
              <w:rPr>
                <w:rFonts w:ascii="宋体" w:hAnsi="宋体"/>
                <w:sz w:val="24"/>
              </w:rPr>
            </w:pPr>
            <w:r>
              <w:rPr>
                <w:rFonts w:hint="eastAsia" w:ascii="宋体" w:hAnsi="宋体" w:cs="宋体"/>
                <w:sz w:val="24"/>
                <w:szCs w:val="24"/>
              </w:rPr>
              <w:t>项目负责人（仅限1人）</w:t>
            </w:r>
            <w:r>
              <w:rPr>
                <w:rFonts w:hint="eastAsia" w:ascii="宋体" w:hAnsi="宋体"/>
                <w:sz w:val="24"/>
              </w:rPr>
              <w:t>具有以下证书：</w:t>
            </w:r>
          </w:p>
          <w:p>
            <w:pPr>
              <w:spacing w:line="480" w:lineRule="exact"/>
              <w:rPr>
                <w:rFonts w:ascii="宋体" w:hAnsi="宋体" w:cs="宋体"/>
                <w:sz w:val="24"/>
                <w:szCs w:val="24"/>
              </w:rPr>
            </w:pPr>
            <w:r>
              <w:rPr>
                <w:rFonts w:hint="eastAsia" w:ascii="宋体" w:hAnsi="宋体"/>
                <w:sz w:val="24"/>
              </w:rPr>
              <w:t>具有信息与通信工程、计算机、软件工程等数字化相关专业的高级</w:t>
            </w:r>
            <w:r>
              <w:rPr>
                <w:rFonts w:hint="eastAsia" w:ascii="宋体" w:hAnsi="宋体" w:cs="宋体"/>
                <w:sz w:val="24"/>
                <w:szCs w:val="24"/>
              </w:rPr>
              <w:t>（或以上）</w:t>
            </w:r>
            <w:r>
              <w:rPr>
                <w:rFonts w:hint="eastAsia" w:ascii="宋体" w:hAnsi="宋体"/>
                <w:sz w:val="24"/>
              </w:rPr>
              <w:t>工程师技术职称证书。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pct"/>
            <w:vAlign w:val="center"/>
          </w:tcPr>
          <w:p>
            <w:pPr>
              <w:widowControl/>
              <w:jc w:val="center"/>
              <w:textAlignment w:val="top"/>
              <w:rPr>
                <w:rFonts w:ascii="宋体" w:hAnsi="宋体"/>
                <w:sz w:val="24"/>
              </w:rPr>
            </w:pPr>
            <w:r>
              <w:rPr>
                <w:rFonts w:hint="eastAsia" w:ascii="宋体" w:hAnsi="宋体"/>
                <w:sz w:val="24"/>
              </w:rPr>
              <w:t>2</w:t>
            </w:r>
          </w:p>
        </w:tc>
        <w:tc>
          <w:tcPr>
            <w:tcW w:w="926" w:type="pct"/>
            <w:vAlign w:val="center"/>
          </w:tcPr>
          <w:p>
            <w:pPr>
              <w:widowControl/>
              <w:textAlignment w:val="top"/>
              <w:rPr>
                <w:rFonts w:ascii="宋体" w:hAnsi="宋体"/>
                <w:sz w:val="24"/>
              </w:rPr>
            </w:pPr>
            <w:r>
              <w:rPr>
                <w:rFonts w:hint="eastAsia" w:ascii="宋体" w:hAnsi="宋体"/>
                <w:sz w:val="24"/>
              </w:rPr>
              <w:t>项目团队成员</w:t>
            </w:r>
          </w:p>
        </w:tc>
        <w:tc>
          <w:tcPr>
            <w:tcW w:w="3432" w:type="pct"/>
            <w:vAlign w:val="center"/>
          </w:tcPr>
          <w:p>
            <w:pPr>
              <w:widowControl/>
              <w:spacing w:line="360" w:lineRule="auto"/>
              <w:jc w:val="left"/>
              <w:textAlignment w:val="top"/>
              <w:rPr>
                <w:rFonts w:ascii="宋体" w:hAnsi="宋体" w:cs="宋体"/>
                <w:color w:val="auto"/>
                <w:sz w:val="24"/>
                <w:szCs w:val="24"/>
              </w:rPr>
            </w:pPr>
            <w:r>
              <w:rPr>
                <w:rFonts w:hint="eastAsia" w:ascii="宋体" w:hAnsi="宋体" w:cs="宋体"/>
                <w:sz w:val="24"/>
                <w:szCs w:val="24"/>
              </w:rPr>
              <w:t>（1）项目团队成员（项目经理</w:t>
            </w:r>
            <w:r>
              <w:rPr>
                <w:rFonts w:hint="eastAsia" w:ascii="宋体" w:hAnsi="宋体" w:cs="宋体"/>
                <w:color w:val="auto"/>
                <w:sz w:val="24"/>
                <w:szCs w:val="24"/>
              </w:rPr>
              <w:t>除外</w:t>
            </w:r>
            <w:r>
              <w:rPr>
                <w:rFonts w:hint="eastAsia" w:ascii="宋体" w:hAnsi="宋体" w:cs="宋体"/>
                <w:color w:val="auto"/>
                <w:sz w:val="24"/>
                <w:szCs w:val="24"/>
                <w:highlight w:val="none"/>
              </w:rPr>
              <w:t>）满足不少于19</w:t>
            </w:r>
            <w:r>
              <w:rPr>
                <w:rFonts w:hint="eastAsia" w:ascii="宋体" w:hAnsi="宋体" w:cs="宋体"/>
                <w:color w:val="auto"/>
                <w:sz w:val="24"/>
                <w:szCs w:val="24"/>
              </w:rPr>
              <w:t>人，且有不少于15名团队成员具有硕士研究生（或以上）学历。</w:t>
            </w:r>
          </w:p>
          <w:p>
            <w:pPr>
              <w:widowControl/>
              <w:spacing w:line="360" w:lineRule="auto"/>
              <w:jc w:val="left"/>
              <w:textAlignment w:val="top"/>
              <w:rPr>
                <w:rFonts w:ascii="宋体" w:hAnsi="宋体" w:cs="宋体"/>
                <w:sz w:val="24"/>
                <w:szCs w:val="24"/>
              </w:rPr>
            </w:pPr>
            <w:r>
              <w:rPr>
                <w:rFonts w:hint="eastAsia" w:ascii="宋体" w:hAnsi="宋体" w:cs="宋体"/>
                <w:color w:val="auto"/>
                <w:sz w:val="24"/>
                <w:szCs w:val="24"/>
              </w:rPr>
              <w:t>（2）上述人员以具备数字化相关专业的中</w:t>
            </w:r>
            <w:r>
              <w:rPr>
                <w:rFonts w:hint="eastAsia" w:ascii="宋体" w:hAnsi="宋体" w:cs="宋体"/>
                <w:sz w:val="24"/>
                <w:szCs w:val="24"/>
              </w:rPr>
              <w:t>级（或以上）专业技术人员职业资格【或中级（或以上）工程师技术职称】证书为佳。</w:t>
            </w:r>
          </w:p>
          <w:p>
            <w:pPr>
              <w:widowControl/>
              <w:spacing w:line="360" w:lineRule="auto"/>
              <w:jc w:val="left"/>
              <w:textAlignment w:val="top"/>
              <w:rPr>
                <w:rFonts w:ascii="宋体" w:hAnsi="宋体" w:cs="宋体"/>
                <w:sz w:val="24"/>
                <w:szCs w:val="24"/>
              </w:rPr>
            </w:pPr>
            <w:r>
              <w:rPr>
                <w:rFonts w:hint="eastAsia" w:ascii="宋体" w:hAnsi="宋体" w:cs="宋体"/>
                <w:sz w:val="24"/>
                <w:szCs w:val="24"/>
              </w:rPr>
              <w:t>注：上述职业资格证书或技术职称证书的专业需与项目服务内容相关，包括但不限于信息与通信技术、通信工程、软件工程、信息系统项目管理、系统规划与管理、系统集成项目管理等数字化相关专业。</w:t>
            </w:r>
          </w:p>
        </w:tc>
      </w:tr>
    </w:tbl>
    <w:p>
      <w:pPr>
        <w:spacing w:line="480" w:lineRule="exact"/>
        <w:ind w:firstLine="480" w:firstLineChars="200"/>
        <w:rPr>
          <w:rFonts w:ascii="宋体" w:hAnsi="宋体" w:cs="宋体"/>
          <w:sz w:val="24"/>
          <w:szCs w:val="24"/>
        </w:rPr>
      </w:pPr>
      <w:r>
        <w:rPr>
          <w:rFonts w:hint="eastAsia" w:ascii="宋体" w:hAnsi="宋体" w:cs="宋体"/>
          <w:sz w:val="24"/>
          <w:szCs w:val="24"/>
        </w:rPr>
        <w:t>5.投标人应具备丰富的专家资源。项目运行过程中，组织召开专家评审会、论证会等相关费用由投标人承担。</w:t>
      </w:r>
    </w:p>
    <w:p>
      <w:pPr>
        <w:spacing w:line="480" w:lineRule="exact"/>
        <w:ind w:firstLine="480" w:firstLineChars="200"/>
        <w:rPr>
          <w:rFonts w:ascii="宋体" w:hAnsi="宋体" w:cs="宋体"/>
          <w:sz w:val="24"/>
          <w:szCs w:val="24"/>
        </w:rPr>
      </w:pPr>
      <w:r>
        <w:rPr>
          <w:rFonts w:hint="eastAsia" w:ascii="宋体" w:hAnsi="宋体" w:cs="宋体"/>
          <w:sz w:val="24"/>
          <w:szCs w:val="24"/>
        </w:rPr>
        <w:t>（二）保密要求</w:t>
      </w:r>
    </w:p>
    <w:p>
      <w:pPr>
        <w:spacing w:line="480" w:lineRule="exact"/>
        <w:ind w:firstLine="480" w:firstLineChars="200"/>
        <w:rPr>
          <w:rFonts w:ascii="宋体" w:hAnsi="宋体" w:cs="宋体"/>
          <w:sz w:val="24"/>
          <w:szCs w:val="24"/>
        </w:rPr>
      </w:pPr>
      <w:r>
        <w:rPr>
          <w:rFonts w:hint="eastAsia" w:ascii="宋体" w:hAnsi="宋体" w:cs="宋体"/>
          <w:sz w:val="24"/>
          <w:szCs w:val="24"/>
        </w:rPr>
        <w:t>建立健全保密管理制度，对项目工作中涉及的各类文档、资料、数据及相关信息严格履行保密义务和法律责任，明确未经书面批准，不得以任何形式向任何个人、单位、团体、公司及其他组织泄露。</w:t>
      </w:r>
    </w:p>
    <w:p>
      <w:pPr>
        <w:spacing w:line="480" w:lineRule="exact"/>
        <w:ind w:firstLine="480" w:firstLineChars="200"/>
        <w:rPr>
          <w:rFonts w:ascii="宋体" w:hAnsi="宋体" w:cs="宋体"/>
          <w:sz w:val="24"/>
          <w:szCs w:val="24"/>
        </w:rPr>
      </w:pPr>
      <w:r>
        <w:rPr>
          <w:rFonts w:hint="eastAsia" w:ascii="宋体" w:hAnsi="宋体" w:cs="宋体"/>
          <w:sz w:val="24"/>
          <w:szCs w:val="24"/>
        </w:rPr>
        <w:t>（三）响应要求</w:t>
      </w:r>
    </w:p>
    <w:p>
      <w:pPr>
        <w:spacing w:line="480" w:lineRule="exact"/>
        <w:ind w:firstLine="480" w:firstLineChars="200"/>
        <w:rPr>
          <w:rFonts w:ascii="宋体" w:hAnsi="宋体" w:cs="宋体"/>
          <w:sz w:val="24"/>
          <w:szCs w:val="24"/>
        </w:rPr>
      </w:pPr>
      <w:r>
        <w:rPr>
          <w:rFonts w:hint="eastAsia" w:ascii="宋体" w:hAnsi="宋体" w:cs="宋体"/>
          <w:sz w:val="24"/>
          <w:szCs w:val="24"/>
        </w:rPr>
        <w:t>1.投标人建立健全全流程快速响应机制，高效处置项目实施过程中的专业问题。服务期间，收到采购人通知后，确保8小时内完成响应，并于24小时内予以反馈。</w:t>
      </w:r>
    </w:p>
    <w:p>
      <w:pPr>
        <w:spacing w:line="480" w:lineRule="exact"/>
        <w:ind w:firstLine="480" w:firstLineChars="200"/>
        <w:rPr>
          <w:rFonts w:ascii="宋体" w:hAnsi="宋体" w:cs="宋体"/>
          <w:sz w:val="24"/>
          <w:szCs w:val="24"/>
        </w:rPr>
      </w:pPr>
      <w:r>
        <w:rPr>
          <w:rFonts w:hint="eastAsia" w:ascii="宋体" w:hAnsi="宋体" w:cs="宋体"/>
          <w:sz w:val="24"/>
          <w:szCs w:val="24"/>
        </w:rPr>
        <w:t>2.投标人根据项目需求的实际情况，制定项目开展的工作计划和各个环节的进度安排。</w:t>
      </w:r>
    </w:p>
    <w:p>
      <w:pPr>
        <w:spacing w:line="480" w:lineRule="exact"/>
        <w:ind w:firstLine="480" w:firstLineChars="200"/>
        <w:rPr>
          <w:rFonts w:ascii="宋体" w:hAnsi="宋体" w:cs="宋体"/>
          <w:sz w:val="24"/>
          <w:szCs w:val="24"/>
        </w:rPr>
      </w:pPr>
      <w:r>
        <w:rPr>
          <w:rFonts w:hint="eastAsia" w:ascii="宋体" w:hAnsi="宋体" w:cs="宋体"/>
          <w:sz w:val="24"/>
          <w:szCs w:val="24"/>
        </w:rPr>
        <w:t>（四）项目进度要求</w:t>
      </w:r>
    </w:p>
    <w:p>
      <w:pPr>
        <w:spacing w:line="480" w:lineRule="exact"/>
        <w:ind w:firstLine="480" w:firstLineChars="200"/>
        <w:rPr>
          <w:rFonts w:ascii="宋体" w:hAnsi="宋体" w:cs="宋体"/>
          <w:sz w:val="24"/>
          <w:szCs w:val="24"/>
        </w:rPr>
      </w:pPr>
      <w:r>
        <w:rPr>
          <w:rFonts w:hint="eastAsia" w:ascii="宋体" w:hAnsi="宋体" w:cs="宋体"/>
          <w:sz w:val="24"/>
          <w:szCs w:val="24"/>
        </w:rPr>
        <w:t>中小企业数字化转型工作启动至实施期后相关工作完成：即合同签订生效之日起至2028年4月30日前，具体项目结束日期以完成中小企业数字化转型相关工作日期为准。</w:t>
      </w:r>
    </w:p>
    <w:p>
      <w:pPr>
        <w:spacing w:line="480" w:lineRule="exact"/>
        <w:ind w:firstLine="480" w:firstLineChars="200"/>
        <w:rPr>
          <w:rFonts w:ascii="宋体" w:hAnsi="宋体" w:cs="宋体"/>
          <w:sz w:val="24"/>
          <w:szCs w:val="24"/>
        </w:rPr>
      </w:pPr>
      <w:r>
        <w:rPr>
          <w:rFonts w:hint="eastAsia" w:ascii="宋体" w:hAnsi="宋体" w:cs="宋体"/>
          <w:sz w:val="24"/>
          <w:szCs w:val="24"/>
        </w:rPr>
        <w:t>五、其他要求</w:t>
      </w:r>
    </w:p>
    <w:p>
      <w:pPr>
        <w:spacing w:line="480" w:lineRule="exact"/>
        <w:ind w:firstLine="481" w:firstLineChars="200"/>
        <w:rPr>
          <w:rFonts w:ascii="宋体" w:hAnsi="宋体" w:cs="宋体"/>
          <w:sz w:val="24"/>
          <w:szCs w:val="24"/>
        </w:rPr>
      </w:pPr>
      <w:r>
        <w:rPr>
          <w:rFonts w:hint="eastAsia" w:ascii="宋体" w:hAnsi="宋体"/>
          <w:b/>
          <w:bCs/>
          <w:sz w:val="24"/>
          <w:szCs w:val="24"/>
          <w:highlight w:val="none"/>
        </w:rPr>
        <w:t>★</w:t>
      </w:r>
      <w:r>
        <w:rPr>
          <w:rFonts w:hint="eastAsia" w:ascii="宋体" w:hAnsi="宋体" w:cs="宋体"/>
          <w:b/>
          <w:bCs/>
          <w:sz w:val="24"/>
          <w:szCs w:val="24"/>
          <w:highlight w:val="none"/>
        </w:rPr>
        <w:t>（一）为保证数字化改造项目的工作顺利进行，保证智库支撑工作和数字化水平诊断工作的公正客观，投标人（若以联合体形式参加投标的，则为联合体全部成员）须对</w:t>
      </w:r>
      <w:r>
        <w:rPr>
          <w:rFonts w:hint="eastAsia" w:ascii="宋体" w:hAnsi="宋体" w:cs="宋体"/>
          <w:b/>
          <w:bCs/>
          <w:sz w:val="24"/>
          <w:szCs w:val="24"/>
        </w:rPr>
        <w:t>以下内容作出承诺，并提供承诺函且加盖投标人单位公章，格式自拟：</w:t>
      </w:r>
    </w:p>
    <w:p>
      <w:pPr>
        <w:spacing w:line="480" w:lineRule="exact"/>
        <w:ind w:firstLine="480" w:firstLineChars="200"/>
        <w:rPr>
          <w:rFonts w:ascii="宋体" w:hAnsi="宋体" w:cs="宋体"/>
          <w:sz w:val="24"/>
          <w:szCs w:val="24"/>
        </w:rPr>
      </w:pPr>
      <w:r>
        <w:rPr>
          <w:rFonts w:hint="eastAsia" w:ascii="宋体" w:hAnsi="宋体" w:cs="宋体"/>
          <w:sz w:val="24"/>
          <w:szCs w:val="24"/>
        </w:rPr>
        <w:t>1.投标人（</w:t>
      </w:r>
      <w:r>
        <w:rPr>
          <w:rFonts w:hint="eastAsia" w:ascii="宋体" w:hAnsi="宋体" w:cs="宋体"/>
          <w:b w:val="0"/>
          <w:bCs w:val="0"/>
          <w:sz w:val="24"/>
          <w:szCs w:val="24"/>
        </w:rPr>
        <w:t>若以联合体形式</w:t>
      </w:r>
      <w:r>
        <w:rPr>
          <w:rFonts w:hint="eastAsia" w:ascii="宋体" w:hAnsi="宋体" w:cs="宋体"/>
          <w:sz w:val="24"/>
          <w:szCs w:val="24"/>
        </w:rPr>
        <w:t>参加</w:t>
      </w:r>
      <w:r>
        <w:rPr>
          <w:rFonts w:hint="eastAsia" w:ascii="宋体" w:hAnsi="宋体" w:cs="宋体"/>
          <w:b w:val="0"/>
          <w:bCs w:val="0"/>
          <w:sz w:val="24"/>
          <w:szCs w:val="24"/>
        </w:rPr>
        <w:t>投标的，则为</w:t>
      </w:r>
      <w:r>
        <w:rPr>
          <w:rFonts w:hint="eastAsia" w:ascii="宋体" w:hAnsi="宋体" w:cs="宋体"/>
          <w:sz w:val="24"/>
          <w:szCs w:val="24"/>
        </w:rPr>
        <w:t>联合体全部成员）不在江门市工业和信息化局于2025年10月20日公布的江门市中小企业数字化转型城市试点数字化牵引单位名单内；不在与牵引单位合作的数字化改造服务商的单位名单内。</w:t>
      </w:r>
    </w:p>
    <w:p>
      <w:pPr>
        <w:spacing w:line="480" w:lineRule="exact"/>
        <w:ind w:firstLine="480" w:firstLineChars="200"/>
        <w:rPr>
          <w:rFonts w:ascii="宋体" w:hAnsi="宋体" w:cs="宋体"/>
          <w:sz w:val="24"/>
          <w:szCs w:val="24"/>
        </w:rPr>
      </w:pPr>
      <w:r>
        <w:rPr>
          <w:rFonts w:hint="eastAsia" w:ascii="宋体" w:hAnsi="宋体" w:cs="宋体"/>
          <w:sz w:val="24"/>
          <w:szCs w:val="24"/>
        </w:rPr>
        <w:t>2.投标人（</w:t>
      </w:r>
      <w:r>
        <w:rPr>
          <w:rFonts w:hint="eastAsia" w:ascii="宋体" w:hAnsi="宋体" w:cs="宋体"/>
          <w:b w:val="0"/>
          <w:bCs w:val="0"/>
          <w:sz w:val="24"/>
          <w:szCs w:val="24"/>
        </w:rPr>
        <w:t>若以联合体形式</w:t>
      </w:r>
      <w:r>
        <w:rPr>
          <w:rFonts w:hint="eastAsia" w:ascii="宋体" w:hAnsi="宋体" w:cs="宋体"/>
          <w:sz w:val="24"/>
          <w:szCs w:val="24"/>
        </w:rPr>
        <w:t>参加</w:t>
      </w:r>
      <w:r>
        <w:rPr>
          <w:rFonts w:hint="eastAsia" w:ascii="宋体" w:hAnsi="宋体" w:cs="宋体"/>
          <w:b w:val="0"/>
          <w:bCs w:val="0"/>
          <w:sz w:val="24"/>
          <w:szCs w:val="24"/>
        </w:rPr>
        <w:t>投标的，则为</w:t>
      </w:r>
      <w:r>
        <w:rPr>
          <w:rFonts w:hint="eastAsia" w:ascii="宋体" w:hAnsi="宋体" w:cs="宋体"/>
          <w:sz w:val="24"/>
          <w:szCs w:val="24"/>
        </w:rPr>
        <w:t>联合体全部成员）应承诺，一旦中标将愿意放弃申报江门市中小企业数字化转型城市试点数字化牵引单位和放弃该资格，愿意放弃申报与牵引单位合作的数字化改造服务商和放弃该资格。</w:t>
      </w:r>
    </w:p>
    <w:p>
      <w:pPr>
        <w:spacing w:line="480" w:lineRule="exact"/>
        <w:ind w:firstLine="480" w:firstLineChars="200"/>
        <w:rPr>
          <w:rFonts w:ascii="宋体" w:hAnsi="宋体" w:cs="宋体"/>
          <w:sz w:val="24"/>
          <w:szCs w:val="24"/>
        </w:rPr>
      </w:pPr>
      <w:r>
        <w:rPr>
          <w:rFonts w:hint="eastAsia" w:ascii="宋体" w:hAnsi="宋体" w:cs="宋体"/>
          <w:sz w:val="24"/>
          <w:szCs w:val="24"/>
        </w:rPr>
        <w:t>3.上述单位名单以采购代理机构于投标（响应）截止当天在《江门市工业和信息化局关于公布江门市中小企业数字化转型城市试点数字化牵引单位名单的通知》（http://www.jiangmen.gov.cn/bmpd/jmsgyhxxhj/ywfl/dzxxygyhlwk/content/post_3381920.html）的查询结果，以及招标文件的附件《数字化改造服务商名单》为准。</w:t>
      </w:r>
    </w:p>
    <w:p>
      <w:pPr>
        <w:spacing w:line="480" w:lineRule="exact"/>
        <w:ind w:firstLine="480" w:firstLineChars="200"/>
        <w:rPr>
          <w:rFonts w:ascii="宋体" w:hAnsi="宋体"/>
          <w:sz w:val="24"/>
          <w:szCs w:val="24"/>
          <w:highlight w:val="none"/>
        </w:rPr>
      </w:pPr>
      <w:r>
        <w:rPr>
          <w:rFonts w:hint="eastAsia" w:ascii="宋体" w:hAnsi="宋体"/>
          <w:sz w:val="24"/>
          <w:szCs w:val="24"/>
          <w:highlight w:val="none"/>
        </w:rPr>
        <w:t>（二）项目实施过程中，如国家、省、市法规政策发生重要修改或变动，则依照最新法规政策调整实施。</w:t>
      </w:r>
    </w:p>
    <w:p>
      <w:pPr>
        <w:spacing w:line="480" w:lineRule="exact"/>
        <w:ind w:firstLine="480" w:firstLineChars="200"/>
        <w:rPr>
          <w:rFonts w:ascii="宋体" w:hAnsi="宋体"/>
          <w:sz w:val="24"/>
          <w:szCs w:val="24"/>
          <w:highlight w:val="none"/>
        </w:rPr>
      </w:pPr>
      <w:r>
        <w:rPr>
          <w:rFonts w:hint="eastAsia" w:ascii="宋体" w:hAnsi="宋体"/>
          <w:sz w:val="24"/>
          <w:szCs w:val="24"/>
          <w:highlight w:val="none"/>
        </w:rPr>
        <w:t>（三）</w:t>
      </w:r>
      <w:r>
        <w:rPr>
          <w:rFonts w:hint="eastAsia" w:ascii="宋体" w:hAnsi="宋体" w:cs="宋体"/>
          <w:sz w:val="24"/>
          <w:szCs w:val="24"/>
          <w:highlight w:val="none"/>
        </w:rPr>
        <w:t>投标人应针对本项目采购需求在投标文件中提供项目整体理解与分析方案，方案内容包括：①对项目背景的解读；②项目实施目标；③项目现状的整体认识与分析。所提供的项目整体理解与分析方案应具针对性、条理清晰，内容明确具体，分析深刻、全面，贴合项目实际情况。</w:t>
      </w:r>
    </w:p>
    <w:p>
      <w:pPr>
        <w:spacing w:line="480" w:lineRule="exact"/>
        <w:ind w:firstLine="480" w:firstLineChars="200"/>
        <w:rPr>
          <w:rFonts w:ascii="宋体" w:hAnsi="宋体"/>
          <w:sz w:val="24"/>
          <w:szCs w:val="24"/>
          <w:highlight w:val="none"/>
        </w:rPr>
      </w:pPr>
      <w:r>
        <w:rPr>
          <w:rFonts w:hint="eastAsia" w:ascii="宋体" w:hAnsi="宋体"/>
          <w:sz w:val="24"/>
          <w:szCs w:val="24"/>
          <w:highlight w:val="none"/>
        </w:rPr>
        <w:t>（四）投标人应针对本项目采购需求在投标文件中提供项目实施方案，方案内容包括：①整体实施方案；②各项服务的分项实施方案；③项目重点、难点分析及应对措施；④项目实施进度计划；⑤质量保障措施。所提供的项目实施方案应具针对性、条理清晰，内容明确具体，有利于保障项目实施。</w:t>
      </w:r>
    </w:p>
    <w:p>
      <w:pPr>
        <w:spacing w:line="480" w:lineRule="exact"/>
        <w:ind w:firstLine="480" w:firstLineChars="200"/>
        <w:rPr>
          <w:rFonts w:ascii="宋体" w:hAnsi="宋体" w:cs="宋体"/>
          <w:sz w:val="24"/>
          <w:szCs w:val="24"/>
        </w:rPr>
      </w:pPr>
      <w:r>
        <w:rPr>
          <w:rFonts w:hint="eastAsia" w:ascii="宋体" w:hAnsi="宋体"/>
          <w:sz w:val="24"/>
          <w:szCs w:val="24"/>
          <w:highlight w:val="none"/>
        </w:rPr>
        <w:t>（五）投标人应针对本项目采购需求提供项目保障方案，方案内容包括：①针对项目的实施保障承诺；②相应保障方案及措施。所提供的项目保障方案应具针对性、条理清晰，内容明确具体，有利于应对突发事件和保障项目实施。</w:t>
      </w:r>
    </w:p>
    <w:p>
      <w:pPr>
        <w:spacing w:line="480" w:lineRule="exact"/>
        <w:ind w:firstLine="480" w:firstLineChars="200"/>
        <w:rPr>
          <w:rFonts w:hint="eastAsia"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采购包1（</w:t>
      </w:r>
      <w:r>
        <w:rPr>
          <w:rFonts w:hint="eastAsia" w:ascii="宋体" w:hAnsi="宋体" w:cs="宋体"/>
          <w:sz w:val="24"/>
          <w:szCs w:val="24"/>
          <w:lang w:eastAsia="zh-CN"/>
        </w:rPr>
        <w:t>江门市中小企业数字化转型城市试点智库服务</w:t>
      </w:r>
      <w:r>
        <w:rPr>
          <w:rFonts w:hint="eastAsia" w:ascii="宋体" w:hAnsi="宋体" w:cs="宋体"/>
          <w:sz w:val="24"/>
          <w:szCs w:val="24"/>
        </w:rPr>
        <w:t>及数字化水平诊断服务）：</w:t>
      </w:r>
    </w:p>
    <w:p>
      <w:pPr>
        <w:widowControl/>
        <w:spacing w:line="480" w:lineRule="exact"/>
        <w:ind w:firstLine="481" w:firstLineChars="200"/>
        <w:outlineLvl w:val="0"/>
        <w:rPr>
          <w:rFonts w:ascii="宋体" w:hAnsi="宋体" w:cs="宋体"/>
          <w:b/>
          <w:sz w:val="24"/>
        </w:rPr>
      </w:pPr>
      <w:r>
        <w:rPr>
          <w:rFonts w:hint="eastAsia" w:ascii="宋体" w:hAnsi="宋体" w:cs="宋体"/>
          <w:b/>
          <w:sz w:val="24"/>
          <w:szCs w:val="24"/>
        </w:rPr>
        <w:t>1.</w:t>
      </w:r>
      <w:r>
        <w:rPr>
          <w:rFonts w:hint="eastAsia" w:ascii="宋体" w:hAnsi="宋体" w:cs="宋体"/>
          <w:b/>
          <w:sz w:val="24"/>
        </w:rPr>
        <w:t>主要商务要求</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744"/>
        <w:gridCol w:w="6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44" w:type="dxa"/>
            <w:vAlign w:val="center"/>
          </w:tcPr>
          <w:p>
            <w:pPr>
              <w:spacing w:line="480" w:lineRule="exact"/>
              <w:jc w:val="center"/>
              <w:rPr>
                <w:rFonts w:ascii="宋体" w:hAnsi="宋体" w:cs="宋体"/>
                <w:b/>
                <w:sz w:val="24"/>
              </w:rPr>
            </w:pPr>
            <w:r>
              <w:rPr>
                <w:rFonts w:hint="eastAsia" w:ascii="宋体" w:hAnsi="宋体" w:cs="宋体"/>
                <w:sz w:val="24"/>
              </w:rPr>
              <w:t>标的提供的时间</w:t>
            </w:r>
          </w:p>
        </w:tc>
        <w:tc>
          <w:tcPr>
            <w:tcW w:w="6582" w:type="dxa"/>
          </w:tcPr>
          <w:p>
            <w:pPr>
              <w:spacing w:line="480" w:lineRule="exact"/>
              <w:jc w:val="left"/>
              <w:rPr>
                <w:rFonts w:ascii="宋体" w:hAnsi="宋体" w:cs="宋体"/>
                <w:sz w:val="24"/>
                <w:szCs w:val="24"/>
              </w:rPr>
            </w:pPr>
            <w:r>
              <w:rPr>
                <w:rFonts w:hint="eastAsia" w:ascii="宋体" w:hAnsi="宋体" w:cs="宋体"/>
                <w:sz w:val="24"/>
                <w:szCs w:val="24"/>
              </w:rPr>
              <w:t>自合同签订生效之日起至2028年4月30日前完成项目所有工作内容并提交相应成果，具体项目结束日期以完成中小企业数字化转型相关工作日期为准。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44" w:type="dxa"/>
            <w:vAlign w:val="center"/>
          </w:tcPr>
          <w:p>
            <w:pPr>
              <w:spacing w:line="480" w:lineRule="exact"/>
              <w:jc w:val="center"/>
              <w:rPr>
                <w:rFonts w:ascii="宋体" w:hAnsi="宋体" w:cs="宋体"/>
                <w:b/>
                <w:sz w:val="24"/>
              </w:rPr>
            </w:pPr>
            <w:r>
              <w:rPr>
                <w:rFonts w:hint="eastAsia" w:ascii="宋体" w:hAnsi="宋体" w:cs="宋体"/>
                <w:sz w:val="24"/>
              </w:rPr>
              <w:t>标的提供的地点</w:t>
            </w:r>
          </w:p>
        </w:tc>
        <w:tc>
          <w:tcPr>
            <w:tcW w:w="6582" w:type="dxa"/>
          </w:tcPr>
          <w:p>
            <w:pPr>
              <w:spacing w:line="480" w:lineRule="exact"/>
              <w:jc w:val="left"/>
              <w:rPr>
                <w:rFonts w:ascii="宋体" w:hAnsi="宋体" w:cs="宋体"/>
                <w:b/>
                <w:sz w:val="24"/>
              </w:rPr>
            </w:pPr>
            <w:r>
              <w:rPr>
                <w:rFonts w:hint="eastAsia" w:ascii="宋体" w:hAnsi="宋体" w:cs="宋体"/>
                <w:sz w:val="24"/>
                <w:szCs w:val="24"/>
              </w:rPr>
              <w:t>江门</w:t>
            </w:r>
            <w:r>
              <w:rPr>
                <w:rFonts w:hint="eastAsia" w:ascii="宋体" w:hAnsi="宋体" w:cs="宋体"/>
                <w:sz w:val="24"/>
              </w:rPr>
              <w:t>市内采购人指定地点（以合同为准）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44" w:type="dxa"/>
            <w:vAlign w:val="center"/>
          </w:tcPr>
          <w:p>
            <w:pPr>
              <w:spacing w:line="480" w:lineRule="exact"/>
              <w:jc w:val="center"/>
              <w:rPr>
                <w:rFonts w:ascii="宋体" w:hAnsi="宋体" w:cs="宋体"/>
                <w:b/>
                <w:sz w:val="24"/>
              </w:rPr>
            </w:pPr>
            <w:r>
              <w:rPr>
                <w:rFonts w:hint="eastAsia" w:ascii="宋体" w:hAnsi="宋体" w:cs="宋体"/>
                <w:sz w:val="24"/>
              </w:rPr>
              <w:t>投标有效期</w:t>
            </w:r>
          </w:p>
        </w:tc>
        <w:tc>
          <w:tcPr>
            <w:tcW w:w="6582" w:type="dxa"/>
          </w:tcPr>
          <w:p>
            <w:pPr>
              <w:spacing w:line="480" w:lineRule="exact"/>
              <w:jc w:val="left"/>
              <w:rPr>
                <w:rFonts w:ascii="宋体" w:hAnsi="宋体" w:cs="宋体"/>
                <w:sz w:val="24"/>
              </w:rPr>
            </w:pPr>
            <w:r>
              <w:rPr>
                <w:rFonts w:hint="eastAsia" w:ascii="宋体" w:hAnsi="宋体" w:cs="宋体"/>
                <w:sz w:val="24"/>
              </w:rPr>
              <w:t>从提交投标文件的截止之日起90日历天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44" w:type="dxa"/>
            <w:vAlign w:val="center"/>
          </w:tcPr>
          <w:p>
            <w:pPr>
              <w:spacing w:line="480" w:lineRule="exact"/>
              <w:jc w:val="center"/>
              <w:rPr>
                <w:rFonts w:ascii="宋体" w:hAnsi="宋体" w:cs="宋体"/>
                <w:b/>
                <w:color w:val="auto"/>
                <w:sz w:val="24"/>
              </w:rPr>
            </w:pPr>
            <w:r>
              <w:rPr>
                <w:rFonts w:hint="eastAsia" w:ascii="宋体" w:hAnsi="宋体" w:cs="宋体"/>
                <w:color w:val="auto"/>
                <w:sz w:val="24"/>
              </w:rPr>
              <w:t>付款方式</w:t>
            </w:r>
          </w:p>
        </w:tc>
        <w:tc>
          <w:tcPr>
            <w:tcW w:w="6582" w:type="dxa"/>
          </w:tcPr>
          <w:p>
            <w:pPr>
              <w:spacing w:line="480" w:lineRule="exact"/>
              <w:jc w:val="left"/>
              <w:rPr>
                <w:rFonts w:ascii="宋体" w:hAnsi="宋体" w:cs="宋体"/>
                <w:b/>
                <w:bCs/>
                <w:color w:val="auto"/>
                <w:sz w:val="24"/>
              </w:rPr>
            </w:pPr>
            <w:r>
              <w:rPr>
                <w:rFonts w:hint="eastAsia" w:ascii="宋体" w:hAnsi="宋体" w:cs="宋体"/>
                <w:b/>
                <w:bCs/>
                <w:color w:val="auto"/>
                <w:sz w:val="24"/>
              </w:rPr>
              <w:t>第1期为（预付款）：支付比例30%，合同签订生效后的5个工作日内，按以下要求支付款项：</w:t>
            </w:r>
          </w:p>
          <w:p>
            <w:pPr>
              <w:spacing w:line="480" w:lineRule="exact"/>
              <w:jc w:val="left"/>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eastAsia="zh-CN"/>
              </w:rPr>
              <w:t>江门市中小企业数字化转型城市试点智库服务</w:t>
            </w:r>
            <w:r>
              <w:rPr>
                <w:rFonts w:hint="eastAsia" w:ascii="宋体" w:hAnsi="宋体" w:cs="宋体"/>
                <w:color w:val="auto"/>
                <w:sz w:val="24"/>
              </w:rPr>
              <w:t>预付款支付金额为：</w:t>
            </w:r>
            <w:r>
              <w:rPr>
                <w:rFonts w:hint="eastAsia" w:ascii="宋体" w:hAnsi="宋体" w:cs="宋体"/>
                <w:color w:val="auto"/>
                <w:sz w:val="24"/>
                <w:lang w:eastAsia="zh-CN"/>
              </w:rPr>
              <w:t>江门市中小企业数字化转型城市试点智库服务</w:t>
            </w:r>
            <w:r>
              <w:rPr>
                <w:rFonts w:hint="eastAsia" w:ascii="宋体" w:hAnsi="宋体" w:cs="宋体"/>
                <w:color w:val="auto"/>
                <w:sz w:val="24"/>
              </w:rPr>
              <w:t>分项预算总价×中标折扣率×30%；</w:t>
            </w:r>
          </w:p>
          <w:p>
            <w:pPr>
              <w:spacing w:line="480" w:lineRule="exact"/>
              <w:jc w:val="left"/>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eastAsia="zh-CN"/>
              </w:rPr>
              <w:t>江门市中小企业数字化转型城市试点数字化水平诊断服务</w:t>
            </w:r>
            <w:r>
              <w:rPr>
                <w:rFonts w:hint="eastAsia" w:ascii="宋体" w:hAnsi="宋体" w:cs="宋体"/>
                <w:color w:val="auto"/>
                <w:sz w:val="24"/>
              </w:rPr>
              <w:t>预付款支付金额为：</w:t>
            </w:r>
            <w:r>
              <w:rPr>
                <w:rFonts w:hint="eastAsia" w:ascii="宋体" w:hAnsi="宋体" w:cs="宋体"/>
                <w:color w:val="auto"/>
                <w:sz w:val="24"/>
                <w:lang w:eastAsia="zh-CN"/>
              </w:rPr>
              <w:t>江门市中小企业数字化转型城市试点数字化水平诊断服务</w:t>
            </w:r>
            <w:r>
              <w:rPr>
                <w:rFonts w:hint="eastAsia" w:ascii="宋体" w:hAnsi="宋体" w:cs="宋体"/>
                <w:color w:val="auto"/>
                <w:sz w:val="24"/>
              </w:rPr>
              <w:t>分项预算总价×中标折扣率×30%；</w:t>
            </w:r>
          </w:p>
          <w:p>
            <w:pPr>
              <w:spacing w:line="480" w:lineRule="exact"/>
              <w:jc w:val="left"/>
              <w:rPr>
                <w:rFonts w:ascii="宋体" w:hAnsi="宋体" w:cs="宋体"/>
                <w:color w:val="auto"/>
                <w:sz w:val="24"/>
              </w:rPr>
            </w:pPr>
            <w:r>
              <w:rPr>
                <w:rFonts w:ascii="宋体" w:hAnsi="宋体" w:cs="宋体"/>
                <w:color w:val="auto"/>
                <w:sz w:val="24"/>
              </w:rPr>
              <w:t>（3）本项目</w:t>
            </w:r>
            <w:r>
              <w:rPr>
                <w:rFonts w:hint="eastAsia" w:ascii="宋体" w:hAnsi="宋体" w:cs="宋体"/>
                <w:color w:val="auto"/>
                <w:sz w:val="24"/>
              </w:rPr>
              <w:t>预付款</w:t>
            </w:r>
            <w:r>
              <w:rPr>
                <w:rFonts w:ascii="宋体" w:hAnsi="宋体" w:cs="宋体"/>
                <w:color w:val="auto"/>
                <w:sz w:val="24"/>
              </w:rPr>
              <w:t>支付总金额为</w:t>
            </w:r>
            <w:r>
              <w:rPr>
                <w:rFonts w:hint="eastAsia" w:ascii="宋体" w:hAnsi="宋体" w:cs="宋体"/>
                <w:color w:val="auto"/>
                <w:sz w:val="24"/>
                <w:lang w:eastAsia="zh-CN"/>
              </w:rPr>
              <w:t>江门市中小企业数字化转型城市试点智库服务</w:t>
            </w:r>
            <w:r>
              <w:rPr>
                <w:rFonts w:hint="eastAsia" w:ascii="宋体" w:hAnsi="宋体" w:cs="宋体"/>
                <w:color w:val="auto"/>
                <w:sz w:val="24"/>
              </w:rPr>
              <w:t>预付款</w:t>
            </w:r>
            <w:r>
              <w:rPr>
                <w:rFonts w:ascii="宋体" w:hAnsi="宋体" w:cs="宋体"/>
                <w:color w:val="auto"/>
                <w:sz w:val="24"/>
              </w:rPr>
              <w:t>支付金额与</w:t>
            </w:r>
            <w:r>
              <w:rPr>
                <w:rFonts w:hint="eastAsia" w:ascii="宋体" w:hAnsi="宋体" w:cs="宋体"/>
                <w:color w:val="auto"/>
                <w:sz w:val="24"/>
                <w:lang w:eastAsia="zh-CN"/>
              </w:rPr>
              <w:t>江门市中小企业数字化转型城市试点数字化水平诊断服务</w:t>
            </w:r>
            <w:r>
              <w:rPr>
                <w:rFonts w:hint="eastAsia" w:ascii="宋体" w:hAnsi="宋体" w:cs="宋体"/>
                <w:color w:val="auto"/>
                <w:sz w:val="24"/>
              </w:rPr>
              <w:t>预付款</w:t>
            </w:r>
            <w:r>
              <w:rPr>
                <w:rFonts w:ascii="宋体" w:hAnsi="宋体" w:cs="宋体"/>
                <w:color w:val="auto"/>
                <w:sz w:val="24"/>
              </w:rPr>
              <w:t>支付金额的总和。</w:t>
            </w:r>
          </w:p>
          <w:p>
            <w:pPr>
              <w:spacing w:line="480" w:lineRule="exact"/>
              <w:jc w:val="left"/>
              <w:rPr>
                <w:rFonts w:ascii="宋体" w:hAnsi="宋体" w:cs="宋体"/>
                <w:b/>
                <w:bCs/>
                <w:color w:val="auto"/>
                <w:sz w:val="24"/>
              </w:rPr>
            </w:pPr>
            <w:r>
              <w:rPr>
                <w:rFonts w:hint="eastAsia" w:ascii="宋体" w:hAnsi="宋体" w:cs="宋体"/>
                <w:b/>
                <w:bCs/>
                <w:color w:val="auto"/>
                <w:sz w:val="24"/>
              </w:rPr>
              <w:t>第2期为（进度款）：支付比例40%，中小企业数字化转型城市试点中期绩效评价结束且经采购人书面确认后的5个工作日内，按以下要求支付款项：</w:t>
            </w:r>
          </w:p>
          <w:p>
            <w:pPr>
              <w:spacing w:line="480" w:lineRule="exact"/>
              <w:jc w:val="left"/>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eastAsia="zh-CN"/>
              </w:rPr>
              <w:t>江门市中小企业数字化转型城市试点智库服务</w:t>
            </w:r>
            <w:r>
              <w:rPr>
                <w:rFonts w:hint="eastAsia" w:ascii="宋体" w:hAnsi="宋体" w:cs="宋体"/>
                <w:color w:val="auto"/>
                <w:sz w:val="24"/>
              </w:rPr>
              <w:t>进度款支付金额为：</w:t>
            </w:r>
            <w:r>
              <w:rPr>
                <w:rFonts w:hint="eastAsia" w:ascii="宋体" w:hAnsi="宋体" w:cs="宋体"/>
                <w:color w:val="auto"/>
                <w:sz w:val="24"/>
                <w:lang w:eastAsia="zh-CN"/>
              </w:rPr>
              <w:t>江门市中小企业数字化转型城市试点智库服务</w:t>
            </w:r>
            <w:r>
              <w:rPr>
                <w:rFonts w:hint="eastAsia" w:ascii="宋体" w:hAnsi="宋体" w:cs="宋体"/>
                <w:color w:val="auto"/>
                <w:sz w:val="24"/>
              </w:rPr>
              <w:t>分项预算总价</w:t>
            </w:r>
            <w:r>
              <w:rPr>
                <w:rFonts w:hint="eastAsia" w:ascii="宋体" w:hAnsi="宋体" w:cs="宋体"/>
                <w:color w:val="auto"/>
                <w:sz w:val="24"/>
                <w:szCs w:val="24"/>
              </w:rPr>
              <w:t>×</w:t>
            </w:r>
            <w:r>
              <w:rPr>
                <w:rFonts w:hint="eastAsia" w:ascii="宋体" w:hAnsi="宋体" w:cs="宋体"/>
                <w:color w:val="auto"/>
                <w:sz w:val="24"/>
              </w:rPr>
              <w:t>中标折扣率</w:t>
            </w:r>
            <w:r>
              <w:rPr>
                <w:rFonts w:hint="eastAsia" w:ascii="宋体" w:hAnsi="宋体" w:cs="宋体"/>
                <w:color w:val="auto"/>
                <w:sz w:val="24"/>
                <w:szCs w:val="24"/>
              </w:rPr>
              <w:t>×</w:t>
            </w:r>
            <w:r>
              <w:rPr>
                <w:rFonts w:hint="eastAsia" w:ascii="宋体" w:hAnsi="宋体" w:cs="宋体"/>
                <w:color w:val="auto"/>
                <w:sz w:val="24"/>
              </w:rPr>
              <w:t>40%；</w:t>
            </w:r>
          </w:p>
          <w:p>
            <w:pPr>
              <w:spacing w:line="480" w:lineRule="exact"/>
              <w:jc w:val="left"/>
              <w:rPr>
                <w:rFonts w:ascii="宋体" w:hAnsi="宋体" w:cs="宋体"/>
                <w:color w:val="auto"/>
                <w:sz w:val="24"/>
                <w:highlight w:val="green"/>
              </w:rPr>
            </w:pPr>
            <w:r>
              <w:rPr>
                <w:rFonts w:hint="eastAsia" w:ascii="宋体" w:hAnsi="宋体" w:cs="宋体"/>
                <w:color w:val="auto"/>
                <w:sz w:val="24"/>
              </w:rPr>
              <w:t>（2）</w:t>
            </w:r>
            <w:r>
              <w:rPr>
                <w:rFonts w:hint="eastAsia" w:ascii="宋体" w:hAnsi="宋体" w:cs="宋体"/>
                <w:color w:val="auto"/>
                <w:sz w:val="24"/>
                <w:lang w:eastAsia="zh-CN"/>
              </w:rPr>
              <w:t>江门市中小企业数字化转型城市试点数字化水平诊断服务</w:t>
            </w:r>
            <w:r>
              <w:rPr>
                <w:rFonts w:hint="eastAsia" w:ascii="宋体" w:hAnsi="宋体" w:cs="宋体"/>
                <w:color w:val="auto"/>
                <w:sz w:val="24"/>
              </w:rPr>
              <w:t>进度款支付金额为：</w:t>
            </w:r>
            <w:r>
              <w:rPr>
                <w:rFonts w:hint="eastAsia" w:ascii="宋体" w:hAnsi="宋体" w:cs="宋体"/>
                <w:color w:val="auto"/>
                <w:sz w:val="24"/>
                <w:lang w:eastAsia="zh-CN"/>
              </w:rPr>
              <w:t>江门市中小企业数字化转型城市试点数字化水平诊断服务</w:t>
            </w:r>
            <w:r>
              <w:rPr>
                <w:rFonts w:hint="eastAsia" w:ascii="宋体" w:hAnsi="宋体" w:cs="宋体"/>
                <w:color w:val="auto"/>
                <w:sz w:val="24"/>
              </w:rPr>
              <w:t>费综合单价基准价</w:t>
            </w:r>
            <w:r>
              <w:rPr>
                <w:rFonts w:hint="eastAsia" w:ascii="宋体" w:hAnsi="宋体" w:cs="宋体"/>
                <w:color w:val="auto"/>
                <w:sz w:val="24"/>
                <w:szCs w:val="24"/>
              </w:rPr>
              <w:t>×</w:t>
            </w:r>
            <w:r>
              <w:rPr>
                <w:rFonts w:hint="eastAsia" w:ascii="宋体" w:hAnsi="宋体" w:cs="宋体"/>
                <w:color w:val="auto"/>
                <w:sz w:val="24"/>
              </w:rPr>
              <w:t>中标折扣率</w:t>
            </w:r>
            <w:r>
              <w:rPr>
                <w:rFonts w:hint="eastAsia" w:ascii="宋体" w:hAnsi="宋体" w:cs="宋体"/>
                <w:color w:val="auto"/>
                <w:sz w:val="24"/>
                <w:szCs w:val="24"/>
              </w:rPr>
              <w:t>×</w:t>
            </w:r>
            <w:r>
              <w:rPr>
                <w:rFonts w:hint="eastAsia" w:ascii="宋体" w:hAnsi="宋体" w:cs="宋体"/>
                <w:color w:val="auto"/>
                <w:sz w:val="24"/>
              </w:rPr>
              <w:t>实际诊断家数-</w:t>
            </w:r>
            <w:r>
              <w:rPr>
                <w:rFonts w:hint="eastAsia" w:ascii="宋体" w:hAnsi="宋体" w:cs="宋体"/>
                <w:color w:val="auto"/>
                <w:sz w:val="24"/>
                <w:lang w:eastAsia="zh-CN"/>
              </w:rPr>
              <w:t>江门市中小企业数字化转型城市试点数字化水平诊断服务</w:t>
            </w:r>
            <w:r>
              <w:rPr>
                <w:rFonts w:hint="eastAsia" w:ascii="宋体" w:hAnsi="宋体" w:cs="宋体"/>
                <w:color w:val="auto"/>
                <w:sz w:val="24"/>
              </w:rPr>
              <w:t>预付款支付金额。如按照前述标准计算结果≤0的，则本期无需支付该项服务费；按照前述标准计算结果＞0的，按照实际计算结果支付该项服务费；</w:t>
            </w:r>
          </w:p>
          <w:p>
            <w:pPr>
              <w:spacing w:line="480" w:lineRule="exact"/>
              <w:jc w:val="left"/>
              <w:rPr>
                <w:rFonts w:ascii="宋体" w:hAnsi="宋体" w:cs="宋体"/>
                <w:color w:val="auto"/>
                <w:sz w:val="24"/>
              </w:rPr>
            </w:pPr>
            <w:r>
              <w:rPr>
                <w:rFonts w:hint="eastAsia" w:ascii="宋体" w:hAnsi="宋体" w:cs="宋体"/>
                <w:color w:val="auto"/>
                <w:sz w:val="24"/>
              </w:rPr>
              <w:t>（3）本项目进度款支付总金额为</w:t>
            </w:r>
            <w:r>
              <w:rPr>
                <w:rFonts w:hint="eastAsia" w:ascii="宋体" w:hAnsi="宋体" w:cs="宋体"/>
                <w:color w:val="auto"/>
                <w:sz w:val="24"/>
                <w:lang w:eastAsia="zh-CN"/>
              </w:rPr>
              <w:t>江门市中小企业数字化转型城市试点智库服务</w:t>
            </w:r>
            <w:r>
              <w:rPr>
                <w:rFonts w:hint="eastAsia" w:ascii="宋体" w:hAnsi="宋体" w:cs="宋体"/>
                <w:color w:val="auto"/>
                <w:sz w:val="24"/>
              </w:rPr>
              <w:t>进度款支付金额与</w:t>
            </w:r>
            <w:r>
              <w:rPr>
                <w:rFonts w:hint="eastAsia" w:ascii="宋体" w:hAnsi="宋体" w:cs="宋体"/>
                <w:color w:val="auto"/>
                <w:sz w:val="24"/>
                <w:lang w:eastAsia="zh-CN"/>
              </w:rPr>
              <w:t>江门市中小企业数字化转型城市试点数字化水平诊断服务</w:t>
            </w:r>
            <w:r>
              <w:rPr>
                <w:rFonts w:hint="eastAsia" w:ascii="宋体" w:hAnsi="宋体" w:cs="宋体"/>
                <w:color w:val="auto"/>
                <w:sz w:val="24"/>
              </w:rPr>
              <w:t>进度款支付金额的总和。</w:t>
            </w:r>
          </w:p>
          <w:p>
            <w:pPr>
              <w:spacing w:line="480" w:lineRule="exact"/>
              <w:jc w:val="left"/>
              <w:rPr>
                <w:rFonts w:ascii="宋体" w:hAnsi="宋体" w:cs="宋体"/>
                <w:b/>
                <w:bCs/>
                <w:color w:val="auto"/>
                <w:sz w:val="24"/>
              </w:rPr>
            </w:pPr>
            <w:r>
              <w:rPr>
                <w:rFonts w:hint="eastAsia" w:ascii="宋体" w:hAnsi="宋体" w:cs="宋体"/>
                <w:b/>
                <w:bCs/>
                <w:color w:val="auto"/>
                <w:sz w:val="24"/>
              </w:rPr>
              <w:t>第3期为（尾款）：支付比例30%，中小企业数字化转型城市试点终期绩效评价结束且本合同全部项目成果经采购人验收通过后的15个工作日内，按以下要求支付款项：</w:t>
            </w:r>
          </w:p>
          <w:p>
            <w:pPr>
              <w:spacing w:line="480" w:lineRule="exact"/>
              <w:jc w:val="left"/>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eastAsia="zh-CN"/>
              </w:rPr>
              <w:t>江门市中小企业数字化转型城市试点智库服务</w:t>
            </w:r>
            <w:r>
              <w:rPr>
                <w:rFonts w:hint="eastAsia" w:ascii="宋体" w:hAnsi="宋体" w:cs="宋体"/>
                <w:color w:val="auto"/>
                <w:sz w:val="24"/>
              </w:rPr>
              <w:t>尾款支付金额为：</w:t>
            </w:r>
            <w:r>
              <w:rPr>
                <w:rFonts w:hint="eastAsia" w:ascii="宋体" w:hAnsi="宋体" w:cs="宋体"/>
                <w:color w:val="auto"/>
                <w:sz w:val="24"/>
                <w:lang w:eastAsia="zh-CN"/>
              </w:rPr>
              <w:t>江门市中小企业数字化转型城市试点智库服务</w:t>
            </w:r>
            <w:r>
              <w:rPr>
                <w:rFonts w:hint="eastAsia" w:ascii="宋体" w:hAnsi="宋体" w:cs="宋体"/>
                <w:color w:val="auto"/>
                <w:sz w:val="24"/>
              </w:rPr>
              <w:t>分项预算总价</w:t>
            </w:r>
            <w:r>
              <w:rPr>
                <w:rFonts w:hint="eastAsia" w:ascii="宋体" w:hAnsi="宋体" w:cs="宋体"/>
                <w:color w:val="auto"/>
                <w:sz w:val="24"/>
                <w:szCs w:val="24"/>
              </w:rPr>
              <w:t>×</w:t>
            </w:r>
            <w:r>
              <w:rPr>
                <w:rFonts w:hint="eastAsia" w:ascii="宋体" w:hAnsi="宋体" w:cs="宋体"/>
                <w:color w:val="auto"/>
                <w:sz w:val="24"/>
              </w:rPr>
              <w:t>中标折扣率</w:t>
            </w:r>
            <w:r>
              <w:rPr>
                <w:rFonts w:hint="eastAsia" w:ascii="宋体" w:hAnsi="宋体" w:cs="宋体"/>
                <w:color w:val="auto"/>
                <w:sz w:val="24"/>
                <w:szCs w:val="24"/>
              </w:rPr>
              <w:t>×</w:t>
            </w:r>
            <w:r>
              <w:rPr>
                <w:rFonts w:hint="eastAsia" w:ascii="宋体" w:hAnsi="宋体" w:cs="宋体"/>
                <w:color w:val="auto"/>
                <w:sz w:val="24"/>
              </w:rPr>
              <w:t>30%；</w:t>
            </w:r>
          </w:p>
          <w:p>
            <w:pPr>
              <w:spacing w:line="480" w:lineRule="exact"/>
              <w:jc w:val="left"/>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eastAsia="zh-CN"/>
              </w:rPr>
              <w:t>江门市中小企业数字化转型城市试点数字化水平诊断服务</w:t>
            </w:r>
            <w:r>
              <w:rPr>
                <w:rFonts w:hint="eastAsia" w:ascii="宋体" w:hAnsi="宋体" w:cs="宋体"/>
                <w:color w:val="auto"/>
                <w:sz w:val="24"/>
              </w:rPr>
              <w:t>尾款支付金额为：</w:t>
            </w:r>
            <w:r>
              <w:rPr>
                <w:rFonts w:hint="eastAsia" w:ascii="宋体" w:hAnsi="宋体" w:cs="宋体"/>
                <w:color w:val="auto"/>
                <w:sz w:val="24"/>
                <w:lang w:eastAsia="zh-CN"/>
              </w:rPr>
              <w:t>江门市中小企业数字化转型城市试点数字化水平诊断服务</w:t>
            </w:r>
            <w:r>
              <w:rPr>
                <w:rFonts w:hint="eastAsia" w:ascii="宋体" w:hAnsi="宋体" w:cs="宋体"/>
                <w:color w:val="auto"/>
                <w:sz w:val="24"/>
              </w:rPr>
              <w:t>费综合单价基准价</w:t>
            </w:r>
            <w:r>
              <w:rPr>
                <w:rFonts w:hint="eastAsia" w:ascii="宋体" w:hAnsi="宋体" w:cs="宋体"/>
                <w:color w:val="auto"/>
                <w:sz w:val="24"/>
                <w:szCs w:val="24"/>
              </w:rPr>
              <w:t>×</w:t>
            </w:r>
            <w:r>
              <w:rPr>
                <w:rFonts w:hint="eastAsia" w:ascii="宋体" w:hAnsi="宋体" w:cs="宋体"/>
                <w:color w:val="auto"/>
                <w:sz w:val="24"/>
              </w:rPr>
              <w:t>中标折扣率</w:t>
            </w:r>
            <w:r>
              <w:rPr>
                <w:rFonts w:hint="eastAsia" w:ascii="宋体" w:hAnsi="宋体" w:cs="宋体"/>
                <w:color w:val="auto"/>
                <w:sz w:val="24"/>
                <w:szCs w:val="24"/>
              </w:rPr>
              <w:t>×</w:t>
            </w:r>
            <w:r>
              <w:rPr>
                <w:rFonts w:hint="eastAsia" w:ascii="宋体" w:hAnsi="宋体" w:cs="宋体"/>
                <w:color w:val="auto"/>
                <w:sz w:val="24"/>
              </w:rPr>
              <w:t>实际诊断总家数-</w:t>
            </w:r>
            <w:r>
              <w:rPr>
                <w:rFonts w:hint="eastAsia" w:ascii="宋体" w:hAnsi="宋体" w:cs="宋体"/>
                <w:color w:val="auto"/>
                <w:sz w:val="24"/>
                <w:lang w:eastAsia="zh-CN"/>
              </w:rPr>
              <w:t>江门市中小企业数字化转型城市试点数字化水平诊断服务</w:t>
            </w:r>
            <w:r>
              <w:rPr>
                <w:rFonts w:hint="eastAsia" w:ascii="宋体" w:hAnsi="宋体" w:cs="宋体"/>
                <w:color w:val="auto"/>
                <w:sz w:val="24"/>
              </w:rPr>
              <w:t>预付款支付金额-</w:t>
            </w:r>
            <w:r>
              <w:rPr>
                <w:rFonts w:hint="eastAsia" w:ascii="宋体" w:hAnsi="宋体" w:cs="宋体"/>
                <w:color w:val="auto"/>
                <w:sz w:val="24"/>
                <w:lang w:eastAsia="zh-CN"/>
              </w:rPr>
              <w:t>江门市中小企业数字化转型城市试点数字化水平诊断服务</w:t>
            </w:r>
            <w:r>
              <w:rPr>
                <w:rFonts w:hint="eastAsia" w:ascii="宋体" w:hAnsi="宋体" w:cs="宋体"/>
                <w:color w:val="auto"/>
                <w:sz w:val="24"/>
              </w:rPr>
              <w:t>进度款支付金额；</w:t>
            </w:r>
          </w:p>
          <w:p>
            <w:pPr>
              <w:spacing w:line="480" w:lineRule="exact"/>
              <w:jc w:val="left"/>
              <w:rPr>
                <w:rFonts w:ascii="宋体" w:hAnsi="宋体" w:cs="宋体"/>
                <w:color w:val="auto"/>
                <w:sz w:val="24"/>
              </w:rPr>
            </w:pPr>
            <w:r>
              <w:rPr>
                <w:rFonts w:hint="eastAsia" w:ascii="宋体" w:hAnsi="宋体" w:cs="宋体"/>
                <w:color w:val="auto"/>
                <w:sz w:val="24"/>
              </w:rPr>
              <w:t>（3）本项目尾款支付总金额为</w:t>
            </w:r>
            <w:r>
              <w:rPr>
                <w:rFonts w:hint="eastAsia" w:ascii="宋体" w:hAnsi="宋体" w:cs="宋体"/>
                <w:color w:val="auto"/>
                <w:sz w:val="24"/>
                <w:lang w:eastAsia="zh-CN"/>
              </w:rPr>
              <w:t>江门市中小企业数字化转型城市试点智库服务</w:t>
            </w:r>
            <w:r>
              <w:rPr>
                <w:rFonts w:hint="eastAsia" w:ascii="宋体" w:hAnsi="宋体" w:cs="宋体"/>
                <w:color w:val="auto"/>
                <w:sz w:val="24"/>
              </w:rPr>
              <w:t>尾款支付金额与</w:t>
            </w:r>
            <w:r>
              <w:rPr>
                <w:rFonts w:hint="eastAsia" w:ascii="宋体" w:hAnsi="宋体" w:cs="宋体"/>
                <w:color w:val="auto"/>
                <w:sz w:val="24"/>
                <w:lang w:eastAsia="zh-CN"/>
              </w:rPr>
              <w:t>江门市中小企业数字化转型城市试点数字化水平诊断服务</w:t>
            </w:r>
            <w:r>
              <w:rPr>
                <w:rFonts w:hint="eastAsia" w:ascii="宋体" w:hAnsi="宋体" w:cs="宋体"/>
                <w:color w:val="auto"/>
                <w:sz w:val="24"/>
              </w:rPr>
              <w:t>尾款支付金额的总和。</w:t>
            </w:r>
          </w:p>
          <w:p>
            <w:pPr>
              <w:spacing w:line="480" w:lineRule="exact"/>
              <w:jc w:val="left"/>
              <w:rPr>
                <w:rFonts w:ascii="宋体" w:hAnsi="宋体" w:cs="宋体"/>
                <w:strike/>
                <w:color w:val="auto"/>
                <w:sz w:val="24"/>
              </w:rPr>
            </w:pPr>
            <w:r>
              <w:rPr>
                <w:rFonts w:hint="eastAsia" w:ascii="宋体" w:hAnsi="宋体" w:cs="宋体"/>
                <w:color w:val="auto"/>
                <w:sz w:val="24"/>
              </w:rPr>
              <w:t>注：①若投标人以联合体形式参加投标（响应）的，根据各联合体成员承担的工作内容及比例，按支付比例由采购人分别向各联合体成员直接支付款项；②中标供应商应在每期付款期限届满前5日，向采购人出具等额有效的发票；③采购人在规定时间内提出支付申请手续后，即视为采购人已经按期支付，实际付款到账时间及金额以支付单位支付时间及金额为准，采购人不承担任何逾期付款的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44" w:type="dxa"/>
            <w:vAlign w:val="center"/>
          </w:tcPr>
          <w:p>
            <w:pPr>
              <w:spacing w:line="480" w:lineRule="exact"/>
              <w:jc w:val="center"/>
              <w:rPr>
                <w:rFonts w:ascii="宋体" w:hAnsi="宋体" w:cs="宋体"/>
                <w:b/>
                <w:sz w:val="24"/>
              </w:rPr>
            </w:pPr>
            <w:r>
              <w:rPr>
                <w:rFonts w:hint="eastAsia" w:ascii="宋体" w:hAnsi="宋体" w:cs="宋体"/>
                <w:sz w:val="24"/>
              </w:rPr>
              <w:t>验收要求</w:t>
            </w:r>
          </w:p>
        </w:tc>
        <w:tc>
          <w:tcPr>
            <w:tcW w:w="6582" w:type="dxa"/>
          </w:tcPr>
          <w:p>
            <w:pPr>
              <w:spacing w:line="480" w:lineRule="exact"/>
              <w:rPr>
                <w:rFonts w:ascii="宋体" w:hAnsi="宋体" w:cs="宋体"/>
                <w:sz w:val="24"/>
                <w:szCs w:val="24"/>
              </w:rPr>
            </w:pPr>
            <w:r>
              <w:rPr>
                <w:rFonts w:hint="eastAsia" w:ascii="宋体" w:hAnsi="宋体" w:cs="宋体"/>
                <w:sz w:val="24"/>
                <w:szCs w:val="24"/>
              </w:rPr>
              <w:t xml:space="preserve">1、验收标准：中标供应商根据招标文件要求及合同相关条款要求，提供完善的项目服务，以国家、省和市现行相关规范为验收标准，具体验收标准以采购人现场确认的要求为准。 </w:t>
            </w:r>
          </w:p>
          <w:p>
            <w:pPr>
              <w:spacing w:line="480" w:lineRule="exact"/>
              <w:rPr>
                <w:rFonts w:ascii="宋体" w:hAnsi="宋体" w:cs="宋体"/>
                <w:sz w:val="24"/>
                <w:szCs w:val="24"/>
              </w:rPr>
            </w:pPr>
            <w:r>
              <w:rPr>
                <w:rFonts w:hint="eastAsia" w:ascii="宋体" w:hAnsi="宋体" w:cs="宋体"/>
                <w:sz w:val="24"/>
                <w:szCs w:val="24"/>
              </w:rPr>
              <w:t>2、组织验收：由采购人组织验收。中标供应商完成项目服务内容及指定成果交付后一个月内，采购人采用组织专家等方式验收。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44" w:type="dxa"/>
            <w:vAlign w:val="center"/>
          </w:tcPr>
          <w:p>
            <w:pPr>
              <w:spacing w:line="480" w:lineRule="exact"/>
              <w:jc w:val="center"/>
              <w:rPr>
                <w:rFonts w:ascii="宋体" w:hAnsi="宋体" w:cs="宋体"/>
                <w:b/>
                <w:sz w:val="24"/>
              </w:rPr>
            </w:pPr>
            <w:r>
              <w:rPr>
                <w:rFonts w:hint="eastAsia" w:ascii="宋体" w:hAnsi="宋体" w:cs="宋体"/>
                <w:sz w:val="24"/>
              </w:rPr>
              <w:t>履约保证金</w:t>
            </w:r>
          </w:p>
        </w:tc>
        <w:tc>
          <w:tcPr>
            <w:tcW w:w="6582" w:type="dxa"/>
          </w:tcPr>
          <w:p>
            <w:pPr>
              <w:spacing w:line="480" w:lineRule="exact"/>
              <w:jc w:val="left"/>
              <w:rPr>
                <w:rFonts w:ascii="宋体" w:hAnsi="宋体" w:cs="宋体"/>
                <w:sz w:val="24"/>
              </w:rPr>
            </w:pPr>
            <w:r>
              <w:rPr>
                <w:rFonts w:hint="eastAsia" w:ascii="宋体" w:hAnsi="宋体" w:cs="宋体"/>
                <w:sz w:val="24"/>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44" w:type="dxa"/>
            <w:vAlign w:val="center"/>
          </w:tcPr>
          <w:p>
            <w:pPr>
              <w:spacing w:line="480" w:lineRule="exact"/>
              <w:rPr>
                <w:rFonts w:ascii="宋体" w:hAnsi="宋体" w:cs="宋体"/>
                <w:sz w:val="24"/>
                <w:szCs w:val="24"/>
              </w:rPr>
            </w:pPr>
            <w:r>
              <w:rPr>
                <w:rFonts w:hint="eastAsia" w:ascii="宋体" w:hAnsi="宋体" w:cs="宋体"/>
                <w:sz w:val="24"/>
                <w:szCs w:val="24"/>
              </w:rPr>
              <w:t>其他商务要求</w:t>
            </w:r>
          </w:p>
        </w:tc>
        <w:tc>
          <w:tcPr>
            <w:tcW w:w="6582" w:type="dxa"/>
          </w:tcPr>
          <w:p>
            <w:pPr>
              <w:spacing w:line="480" w:lineRule="exact"/>
              <w:rPr>
                <w:rFonts w:ascii="宋体" w:hAnsi="宋体" w:cs="宋体"/>
                <w:sz w:val="24"/>
                <w:szCs w:val="24"/>
              </w:rPr>
            </w:pPr>
            <w:r>
              <w:rPr>
                <w:rFonts w:hint="eastAsia" w:ascii="宋体" w:hAnsi="宋体" w:cs="宋体"/>
                <w:sz w:val="24"/>
                <w:szCs w:val="24"/>
              </w:rPr>
              <w:t>1、本次招标内容为</w:t>
            </w:r>
            <w:r>
              <w:rPr>
                <w:rFonts w:hint="eastAsia" w:ascii="宋体" w:hAnsi="宋体" w:cs="宋体"/>
                <w:sz w:val="24"/>
                <w:szCs w:val="24"/>
                <w:lang w:eastAsia="zh-CN"/>
              </w:rPr>
              <w:t>江门市中小企业数字化转型城市试点智库服务</w:t>
            </w:r>
            <w:r>
              <w:rPr>
                <w:rFonts w:hint="eastAsia" w:ascii="宋体" w:hAnsi="宋体" w:cs="宋体"/>
                <w:sz w:val="24"/>
                <w:szCs w:val="24"/>
              </w:rPr>
              <w:t xml:space="preserve">及数字化水平诊断服务。投标人不得将本项目中的内容拆散来投标。 </w:t>
            </w:r>
          </w:p>
          <w:p>
            <w:pPr>
              <w:spacing w:line="480" w:lineRule="exact"/>
              <w:rPr>
                <w:rFonts w:ascii="宋体" w:hAnsi="宋体" w:cs="宋体"/>
                <w:color w:val="auto"/>
                <w:sz w:val="24"/>
                <w:szCs w:val="24"/>
              </w:rPr>
            </w:pPr>
            <w:r>
              <w:rPr>
                <w:rFonts w:hint="eastAsia" w:ascii="宋体" w:hAnsi="宋体" w:cs="宋体"/>
                <w:sz w:val="24"/>
                <w:szCs w:val="24"/>
              </w:rPr>
              <w:t>2、投标人应当说明</w:t>
            </w:r>
            <w:r>
              <w:rPr>
                <w:rFonts w:hint="eastAsia" w:ascii="宋体" w:hAnsi="宋体" w:cs="宋体"/>
                <w:color w:val="auto"/>
                <w:sz w:val="24"/>
                <w:szCs w:val="24"/>
              </w:rPr>
              <w:t xml:space="preserve">与本项目类似的其它项目的业绩和服务情况等。 </w:t>
            </w:r>
          </w:p>
          <w:p>
            <w:pPr>
              <w:spacing w:line="480" w:lineRule="exact"/>
              <w:rPr>
                <w:rFonts w:ascii="宋体" w:hAnsi="宋体" w:cs="宋体"/>
                <w:color w:val="auto"/>
                <w:sz w:val="24"/>
                <w:szCs w:val="24"/>
              </w:rPr>
            </w:pPr>
            <w:r>
              <w:rPr>
                <w:rFonts w:hint="eastAsia" w:ascii="宋体" w:hAnsi="宋体" w:cs="宋体"/>
                <w:color w:val="auto"/>
                <w:sz w:val="24"/>
                <w:szCs w:val="24"/>
              </w:rPr>
              <w:t xml:space="preserve">3、投标人应当具备相关研究基础及能力，能保障项目按时完成，相关工作顺利开展。 </w:t>
            </w:r>
          </w:p>
          <w:p>
            <w:pPr>
              <w:spacing w:line="480" w:lineRule="exact"/>
              <w:rPr>
                <w:rFonts w:ascii="宋体" w:hAnsi="宋体" w:cs="宋体"/>
                <w:sz w:val="24"/>
                <w:szCs w:val="24"/>
              </w:rPr>
            </w:pPr>
            <w:r>
              <w:rPr>
                <w:rFonts w:hint="eastAsia" w:ascii="宋体" w:hAnsi="宋体" w:cs="宋体"/>
                <w:color w:val="auto"/>
                <w:sz w:val="24"/>
                <w:szCs w:val="24"/>
              </w:rPr>
              <w:t>4、投标人在保证质量的前提下</w:t>
            </w:r>
            <w:r>
              <w:rPr>
                <w:rFonts w:hint="eastAsia" w:ascii="宋体" w:hAnsi="宋体" w:cs="宋体"/>
                <w:sz w:val="24"/>
                <w:szCs w:val="24"/>
              </w:rPr>
              <w:t xml:space="preserve">，应能按时完成所有工作内容。 5、在中标后的整个作业期间，投标人若发生人身伤亡、财物或其它损失，无论何种原因所致，采购人和采购代理机构均不负责。 </w:t>
            </w:r>
          </w:p>
          <w:p>
            <w:pPr>
              <w:spacing w:line="480" w:lineRule="exact"/>
              <w:rPr>
                <w:rFonts w:ascii="宋体" w:hAnsi="宋体" w:cs="宋体"/>
                <w:sz w:val="24"/>
                <w:szCs w:val="24"/>
              </w:rPr>
            </w:pPr>
            <w:r>
              <w:rPr>
                <w:rFonts w:hint="eastAsia" w:ascii="宋体" w:hAnsi="宋体" w:cs="宋体"/>
                <w:sz w:val="24"/>
                <w:szCs w:val="24"/>
              </w:rPr>
              <w:t xml:space="preserve">6、采购合同由中标供应商与采购人双方签订。 </w:t>
            </w:r>
          </w:p>
          <w:p>
            <w:pPr>
              <w:spacing w:line="480" w:lineRule="exact"/>
              <w:rPr>
                <w:rFonts w:ascii="宋体" w:hAnsi="宋体" w:cs="宋体"/>
                <w:sz w:val="24"/>
                <w:szCs w:val="24"/>
              </w:rPr>
            </w:pPr>
            <w:r>
              <w:rPr>
                <w:rFonts w:hint="eastAsia" w:ascii="宋体" w:hAnsi="宋体" w:cs="宋体"/>
                <w:sz w:val="24"/>
                <w:szCs w:val="24"/>
              </w:rPr>
              <w:t>7、本项目如涉及商品包装、快递包装，应当满足商品包装政府采购需求标准、快递包装政府采购需求标准。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44" w:type="dxa"/>
            <w:vAlign w:val="center"/>
          </w:tcPr>
          <w:p>
            <w:pPr>
              <w:adjustRightInd w:val="0"/>
              <w:spacing w:line="480" w:lineRule="exact"/>
              <w:jc w:val="center"/>
              <w:rPr>
                <w:rFonts w:ascii="宋体" w:hAnsi="宋体" w:cs="宋体"/>
                <w:sz w:val="24"/>
                <w:szCs w:val="24"/>
              </w:rPr>
            </w:pPr>
            <w:r>
              <w:rPr>
                <w:rFonts w:hint="eastAsia" w:ascii="宋体" w:hAnsi="宋体" w:cs="宋体"/>
                <w:sz w:val="24"/>
              </w:rPr>
              <w:t>★定价机制</w:t>
            </w:r>
          </w:p>
        </w:tc>
        <w:tc>
          <w:tcPr>
            <w:tcW w:w="6582" w:type="dxa"/>
          </w:tcPr>
          <w:p>
            <w:pPr>
              <w:tabs>
                <w:tab w:val="left" w:pos="1080"/>
              </w:tabs>
              <w:spacing w:line="480" w:lineRule="exact"/>
              <w:rPr>
                <w:rFonts w:ascii="宋体" w:hAnsi="宋体" w:cs="宋体"/>
                <w:color w:val="auto"/>
                <w:sz w:val="24"/>
                <w:szCs w:val="24"/>
                <w:highlight w:val="none"/>
              </w:rPr>
            </w:pPr>
            <w:r>
              <w:rPr>
                <w:rFonts w:hint="eastAsia" w:ascii="宋体" w:hAnsi="宋体" w:cs="宋体"/>
                <w:sz w:val="24"/>
              </w:rPr>
              <w:t>1、</w:t>
            </w:r>
            <w:r>
              <w:rPr>
                <w:rFonts w:hint="eastAsia" w:ascii="宋体" w:hAnsi="宋体" w:cs="宋体"/>
                <w:sz w:val="24"/>
                <w:lang w:eastAsia="zh-CN"/>
              </w:rPr>
              <w:t>江门市中小企业数字化转型城市试点智库服务</w:t>
            </w:r>
            <w:r>
              <w:rPr>
                <w:rFonts w:hint="eastAsia" w:ascii="宋体" w:hAnsi="宋体" w:cs="宋体"/>
                <w:sz w:val="24"/>
              </w:rPr>
              <w:t>分项预算总价为人民币5800000.00元。</w:t>
            </w:r>
            <w:r>
              <w:rPr>
                <w:rFonts w:hint="eastAsia" w:ascii="宋体" w:hAnsi="宋体" w:cs="宋体"/>
                <w:b/>
                <w:bCs/>
                <w:sz w:val="24"/>
                <w:lang w:eastAsia="zh-CN"/>
              </w:rPr>
              <w:t>江门市中小企业数字化转型城市试点智库服务</w:t>
            </w:r>
            <w:r>
              <w:rPr>
                <w:rFonts w:hint="eastAsia" w:ascii="宋体" w:hAnsi="宋体" w:cs="宋体"/>
                <w:b/>
                <w:bCs/>
                <w:color w:val="auto"/>
                <w:sz w:val="24"/>
                <w:highlight w:val="none"/>
              </w:rPr>
              <w:t>费结算总金额=</w:t>
            </w:r>
            <w:r>
              <w:rPr>
                <w:rFonts w:hint="eastAsia" w:ascii="宋体" w:hAnsi="宋体" w:cs="宋体"/>
                <w:b/>
                <w:bCs/>
                <w:color w:val="auto"/>
                <w:sz w:val="24"/>
                <w:highlight w:val="none"/>
                <w:lang w:eastAsia="zh-CN"/>
              </w:rPr>
              <w:t>江门市中小企业数字化转型城市试点智库服务</w:t>
            </w:r>
            <w:r>
              <w:rPr>
                <w:rFonts w:hint="eastAsia" w:ascii="宋体" w:hAnsi="宋体" w:cs="宋体"/>
                <w:b/>
                <w:bCs/>
                <w:color w:val="auto"/>
                <w:sz w:val="24"/>
                <w:highlight w:val="none"/>
              </w:rPr>
              <w:t>分项预算总价</w:t>
            </w:r>
            <w:r>
              <w:rPr>
                <w:rFonts w:hint="eastAsia" w:ascii="宋体" w:hAnsi="宋体" w:cs="宋体"/>
                <w:b/>
                <w:bCs/>
                <w:color w:val="auto"/>
                <w:sz w:val="24"/>
                <w:szCs w:val="24"/>
                <w:highlight w:val="none"/>
              </w:rPr>
              <w:t>×中标折扣率。</w:t>
            </w:r>
          </w:p>
          <w:p>
            <w:pPr>
              <w:spacing w:line="480" w:lineRule="exact"/>
              <w:rPr>
                <w:rFonts w:ascii="宋体" w:hAnsi="宋体" w:cs="宋体"/>
                <w:sz w:val="24"/>
                <w:szCs w:val="24"/>
              </w:rPr>
            </w:pPr>
            <w:r>
              <w:rPr>
                <w:rFonts w:hint="eastAsia" w:ascii="宋体" w:hAnsi="宋体" w:cs="宋体"/>
                <w:color w:val="auto"/>
                <w:sz w:val="24"/>
                <w:szCs w:val="24"/>
                <w:highlight w:val="none"/>
              </w:rPr>
              <w:t>2、</w:t>
            </w:r>
            <w:r>
              <w:rPr>
                <w:rFonts w:hint="eastAsia" w:cs="宋体" w:asciiTheme="minorEastAsia" w:hAnsiTheme="minorEastAsia" w:eastAsiaTheme="minorEastAsia"/>
                <w:color w:val="auto"/>
                <w:sz w:val="24"/>
                <w:szCs w:val="24"/>
                <w:highlight w:val="none"/>
                <w:lang w:eastAsia="zh-CN"/>
              </w:rPr>
              <w:t>江门市中小企业数字化转型城市试点数字化水平诊断服务</w:t>
            </w:r>
            <w:r>
              <w:rPr>
                <w:rFonts w:hint="eastAsia" w:ascii="宋体" w:hAnsi="宋体" w:cs="宋体"/>
                <w:color w:val="auto"/>
                <w:sz w:val="24"/>
                <w:highlight w:val="none"/>
              </w:rPr>
              <w:t>分项预算总价为人民币5000000.00元，且</w:t>
            </w:r>
            <w:r>
              <w:rPr>
                <w:rFonts w:hint="eastAsia" w:ascii="宋体" w:hAnsi="宋体" w:cs="宋体"/>
                <w:color w:val="auto"/>
                <w:sz w:val="24"/>
                <w:highlight w:val="none"/>
                <w:lang w:eastAsia="zh-CN"/>
              </w:rPr>
              <w:t>江门市中小企业数字化转型城市试点数字化水平诊断服务</w:t>
            </w:r>
            <w:r>
              <w:rPr>
                <w:rFonts w:hint="eastAsia" w:ascii="宋体" w:hAnsi="宋体" w:cs="宋体"/>
                <w:color w:val="auto"/>
                <w:sz w:val="24"/>
                <w:highlight w:val="none"/>
              </w:rPr>
              <w:t>费综合单价基准价为人民币5555.00元/家。</w:t>
            </w:r>
            <w:r>
              <w:rPr>
                <w:rFonts w:hint="eastAsia" w:ascii="宋体" w:hAnsi="宋体" w:cs="宋体"/>
                <w:b/>
                <w:bCs/>
                <w:color w:val="auto"/>
                <w:sz w:val="24"/>
                <w:highlight w:val="none"/>
                <w:lang w:eastAsia="zh-CN"/>
              </w:rPr>
              <w:t>江门市中小企业数字化转型城市试点数字化水平诊断服务</w:t>
            </w:r>
            <w:r>
              <w:rPr>
                <w:rFonts w:hint="eastAsia" w:ascii="宋体" w:hAnsi="宋体" w:cs="宋体"/>
                <w:b/>
                <w:bCs/>
                <w:color w:val="auto"/>
                <w:sz w:val="24"/>
                <w:highlight w:val="none"/>
              </w:rPr>
              <w:t>费结算总金额=</w:t>
            </w:r>
            <w:r>
              <w:rPr>
                <w:rFonts w:hint="eastAsia" w:ascii="宋体" w:hAnsi="宋体" w:cs="宋体"/>
                <w:b/>
                <w:bCs/>
                <w:color w:val="auto"/>
                <w:sz w:val="24"/>
                <w:highlight w:val="none"/>
                <w:lang w:eastAsia="zh-CN"/>
              </w:rPr>
              <w:t>江门市中小企业数字化转型城市试点智库服务</w:t>
            </w:r>
            <w:r>
              <w:rPr>
                <w:rFonts w:hint="eastAsia" w:ascii="宋体" w:hAnsi="宋体" w:cs="宋体"/>
                <w:b/>
                <w:bCs/>
                <w:color w:val="auto"/>
                <w:sz w:val="24"/>
                <w:highlight w:val="none"/>
              </w:rPr>
              <w:t>费综合单价</w:t>
            </w:r>
            <w:r>
              <w:rPr>
                <w:rFonts w:hint="eastAsia" w:ascii="宋体" w:hAnsi="宋体" w:cs="宋体"/>
                <w:b/>
                <w:bCs/>
                <w:sz w:val="24"/>
              </w:rPr>
              <w:t>基准价</w:t>
            </w:r>
            <w:r>
              <w:rPr>
                <w:rFonts w:hint="eastAsia" w:ascii="宋体" w:hAnsi="宋体" w:cs="宋体"/>
                <w:b/>
                <w:bCs/>
                <w:sz w:val="24"/>
                <w:szCs w:val="24"/>
              </w:rPr>
              <w:t>×中标折扣率×</w:t>
            </w:r>
            <w:r>
              <w:rPr>
                <w:rFonts w:hint="eastAsia" w:ascii="宋体" w:hAnsi="宋体" w:cs="宋体"/>
                <w:b/>
                <w:bCs/>
                <w:sz w:val="24"/>
              </w:rPr>
              <w:t>实际诊断总家数</w:t>
            </w:r>
            <w:r>
              <w:rPr>
                <w:rFonts w:hint="eastAsia" w:ascii="宋体" w:hAnsi="宋体" w:cs="宋体"/>
                <w:sz w:val="24"/>
                <w:szCs w:val="24"/>
              </w:rPr>
              <w:t>，据实结算。本部分服务的结算总金额不得</w:t>
            </w:r>
            <w:r>
              <w:rPr>
                <w:rFonts w:hint="eastAsia" w:ascii="宋体" w:hAnsi="宋体" w:cs="宋体"/>
                <w:sz w:val="24"/>
              </w:rPr>
              <w:t>超过其分项预算总价（即人民币5000000.00元），超出部分将不予结算</w:t>
            </w: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44" w:type="dxa"/>
            <w:vAlign w:val="center"/>
          </w:tcPr>
          <w:p>
            <w:pPr>
              <w:adjustRightInd w:val="0"/>
              <w:spacing w:line="480" w:lineRule="exact"/>
              <w:jc w:val="center"/>
              <w:rPr>
                <w:rFonts w:ascii="宋体" w:hAnsi="宋体" w:cs="宋体"/>
                <w:sz w:val="24"/>
              </w:rPr>
            </w:pPr>
            <w:r>
              <w:rPr>
                <w:rFonts w:hint="eastAsia" w:ascii="宋体" w:hAnsi="宋体" w:cs="宋体"/>
                <w:sz w:val="24"/>
              </w:rPr>
              <w:t>★报价要求</w:t>
            </w:r>
          </w:p>
        </w:tc>
        <w:tc>
          <w:tcPr>
            <w:tcW w:w="6582" w:type="dxa"/>
          </w:tcPr>
          <w:p>
            <w:pPr>
              <w:tabs>
                <w:tab w:val="left" w:pos="1080"/>
              </w:tabs>
              <w:spacing w:line="480" w:lineRule="exact"/>
              <w:rPr>
                <w:rFonts w:ascii="宋体" w:hAnsi="宋体" w:cs="宋体"/>
                <w:sz w:val="24"/>
              </w:rPr>
            </w:pPr>
            <w:r>
              <w:rPr>
                <w:rFonts w:hint="eastAsia" w:ascii="宋体" w:hAnsi="宋体" w:cs="宋体"/>
                <w:sz w:val="24"/>
              </w:rPr>
              <w:t>1、本次投标报价仅报折扣率，本采购包服务费总价格应为服务期内的相应分项服务的服务费之和。</w:t>
            </w:r>
            <w:r>
              <w:rPr>
                <w:rFonts w:hint="eastAsia" w:ascii="宋体" w:hAnsi="宋体" w:cs="宋体"/>
                <w:sz w:val="24"/>
                <w:szCs w:val="24"/>
              </w:rPr>
              <w:t>上述相应服务费应为含税全包价</w:t>
            </w:r>
            <w:r>
              <w:rPr>
                <w:rFonts w:hint="eastAsia" w:ascii="宋体" w:hAnsi="宋体" w:cs="宋体"/>
                <w:sz w:val="24"/>
              </w:rPr>
              <w:t>，包括项目人员工资和各类补贴、项目实施过程的各类差旅费用等成本、项目涉及的专家评审咨询费及其他相关资料费用、平台设备、税金、利润等各项费用。</w:t>
            </w:r>
          </w:p>
          <w:p>
            <w:pPr>
              <w:tabs>
                <w:tab w:val="left" w:pos="1080"/>
              </w:tabs>
              <w:spacing w:line="480" w:lineRule="exact"/>
              <w:rPr>
                <w:rFonts w:ascii="宋体" w:hAnsi="宋体" w:cs="宋体"/>
                <w:sz w:val="24"/>
              </w:rPr>
            </w:pPr>
            <w:r>
              <w:rPr>
                <w:rFonts w:hint="eastAsia" w:ascii="宋体" w:hAnsi="宋体" w:cs="宋体"/>
                <w:sz w:val="24"/>
              </w:rPr>
              <w:t>2、本项目采用折扣率报价的方式进行投标报价，报价格式为百分比（xx%），且不能为0或者负数。投标人进行投标报价时，投报一个折扣率作为各分项服务的服务费的统一计价折扣率。具体计价按“定价机制”要求确定。</w:t>
            </w:r>
          </w:p>
          <w:p>
            <w:pPr>
              <w:tabs>
                <w:tab w:val="left" w:pos="1080"/>
              </w:tabs>
              <w:spacing w:line="480" w:lineRule="exact"/>
              <w:rPr>
                <w:rFonts w:ascii="宋体" w:hAnsi="宋体" w:cs="宋体"/>
                <w:sz w:val="24"/>
              </w:rPr>
            </w:pPr>
            <w:r>
              <w:rPr>
                <w:rFonts w:hint="eastAsia" w:ascii="宋体" w:hAnsi="宋体" w:cs="宋体"/>
                <w:sz w:val="24"/>
              </w:rPr>
              <w:t>3、本项目的最高折扣率为100</w:t>
            </w:r>
            <w:r>
              <w:rPr>
                <w:rFonts w:hint="eastAsia" w:ascii="宋体" w:hAnsi="宋体" w:cs="宋体"/>
                <w:sz w:val="24"/>
                <w:lang w:val="en-US" w:eastAsia="zh-CN"/>
              </w:rPr>
              <w:t>%</w:t>
            </w:r>
            <w:r>
              <w:rPr>
                <w:rFonts w:hint="eastAsia" w:ascii="宋体" w:hAnsi="宋体" w:cs="宋体"/>
                <w:sz w:val="24"/>
              </w:rPr>
              <w:t>，投标人投报的折扣率不得超过最高折扣率，否则作无效投标处理。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44" w:type="dxa"/>
            <w:vAlign w:val="center"/>
          </w:tcPr>
          <w:p>
            <w:pPr>
              <w:tabs>
                <w:tab w:val="left" w:pos="1080"/>
              </w:tabs>
              <w:spacing w:line="480" w:lineRule="exact"/>
              <w:rPr>
                <w:rFonts w:ascii="宋体" w:hAnsi="宋体" w:cs="宋体"/>
                <w:sz w:val="24"/>
              </w:rPr>
            </w:pPr>
            <w:r>
              <w:rPr>
                <w:rFonts w:hint="eastAsia" w:ascii="宋体" w:hAnsi="宋体" w:cs="宋体"/>
                <w:sz w:val="24"/>
              </w:rPr>
              <w:t>违约责任与赔偿损失</w:t>
            </w:r>
          </w:p>
        </w:tc>
        <w:tc>
          <w:tcPr>
            <w:tcW w:w="6582" w:type="dxa"/>
          </w:tcPr>
          <w:p>
            <w:pPr>
              <w:tabs>
                <w:tab w:val="left" w:pos="1080"/>
              </w:tabs>
              <w:spacing w:line="480" w:lineRule="exact"/>
              <w:rPr>
                <w:rFonts w:ascii="宋体" w:hAnsi="宋体" w:cs="宋体"/>
                <w:sz w:val="24"/>
              </w:rPr>
            </w:pPr>
            <w:r>
              <w:rPr>
                <w:rFonts w:hint="eastAsia" w:ascii="宋体" w:hAnsi="宋体" w:cs="宋体"/>
                <w:sz w:val="24"/>
              </w:rPr>
              <w:t xml:space="preserve">1、中标供应商不得将本合同项下的权利义务转让给第三人，否则采购人有权终止合同，中标供应商应向采购人支付合同金额的20%违约金，造成一切损失由中标供应商承担。 </w:t>
            </w:r>
          </w:p>
          <w:p>
            <w:pPr>
              <w:tabs>
                <w:tab w:val="left" w:pos="1080"/>
              </w:tabs>
              <w:spacing w:line="480" w:lineRule="exact"/>
              <w:rPr>
                <w:rFonts w:ascii="宋体" w:hAnsi="宋体" w:cs="宋体"/>
                <w:sz w:val="24"/>
              </w:rPr>
            </w:pPr>
            <w:r>
              <w:rPr>
                <w:rFonts w:hint="eastAsia" w:ascii="宋体" w:hAnsi="宋体" w:cs="宋体"/>
                <w:sz w:val="24"/>
              </w:rPr>
              <w:t xml:space="preserve">2、因中标供应商违约导致合同终止或单方无故终止合同的，相关责任和损失由中标供应商承担，中标供应商还应当按照合同总金额的20%向采购人支付违约金。 </w:t>
            </w:r>
          </w:p>
          <w:p>
            <w:pPr>
              <w:tabs>
                <w:tab w:val="left" w:pos="1080"/>
              </w:tabs>
              <w:spacing w:line="480" w:lineRule="exact"/>
              <w:rPr>
                <w:rFonts w:ascii="宋体" w:hAnsi="宋体" w:cs="宋体"/>
                <w:sz w:val="24"/>
              </w:rPr>
            </w:pPr>
            <w:r>
              <w:rPr>
                <w:rFonts w:hint="eastAsia" w:ascii="宋体" w:hAnsi="宋体" w:cs="宋体"/>
                <w:sz w:val="24"/>
              </w:rPr>
              <w:t xml:space="preserve">3、中标供应商提供的服务不符合采购文件、投标文件或本合同规定的，采购人有权拒收，并且中标供应商须向采购人方支付本合同总金额10%的违约金。 </w:t>
            </w:r>
          </w:p>
          <w:p>
            <w:pPr>
              <w:tabs>
                <w:tab w:val="left" w:pos="1080"/>
              </w:tabs>
              <w:spacing w:line="480" w:lineRule="exact"/>
              <w:rPr>
                <w:rFonts w:ascii="宋体" w:hAnsi="宋体" w:cs="宋体"/>
                <w:sz w:val="24"/>
              </w:rPr>
            </w:pPr>
            <w:r>
              <w:rPr>
                <w:rFonts w:hint="eastAsia" w:ascii="宋体" w:hAnsi="宋体" w:cs="宋体"/>
                <w:sz w:val="24"/>
              </w:rPr>
              <w:t>4、中标供应商未能按合同规定时间提供服务，从逾期之日起每日按本合同总金额3‰的数额向采购人支付违约金；逾期15天以上（含15天）的，采购人有权终止合同，要求中标供应商支付违约金，并且给采购人造成的经济损失由中标供应商承担赔偿责任。</w:t>
            </w:r>
          </w:p>
        </w:tc>
      </w:tr>
    </w:tbl>
    <w:p>
      <w:pPr>
        <w:widowControl/>
        <w:spacing w:line="480" w:lineRule="exact"/>
        <w:ind w:firstLine="482"/>
        <w:jc w:val="left"/>
        <w:outlineLvl w:val="0"/>
        <w:rPr>
          <w:rFonts w:ascii="宋体" w:hAnsi="宋体" w:cs="宋体"/>
          <w:b/>
          <w:sz w:val="24"/>
        </w:rPr>
      </w:pPr>
      <w:r>
        <w:rPr>
          <w:rFonts w:hint="eastAsia" w:ascii="宋体" w:hAnsi="宋体" w:cs="宋体"/>
          <w:b/>
          <w:sz w:val="24"/>
        </w:rPr>
        <w:t>2.技术标准与要求</w:t>
      </w:r>
    </w:p>
    <w:tbl>
      <w:tblPr>
        <w:tblStyle w:val="1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382"/>
        <w:gridCol w:w="1149"/>
        <w:gridCol w:w="1278"/>
        <w:gridCol w:w="639"/>
        <w:gridCol w:w="639"/>
        <w:gridCol w:w="1150"/>
        <w:gridCol w:w="1150"/>
        <w:gridCol w:w="1160"/>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27" w:hRule="atLeast"/>
          <w:jc w:val="center"/>
        </w:trPr>
        <w:tc>
          <w:tcPr>
            <w:tcW w:w="230" w:type="pct"/>
            <w:vAlign w:val="center"/>
          </w:tcPr>
          <w:p>
            <w:pPr>
              <w:spacing w:line="480" w:lineRule="exact"/>
              <w:jc w:val="center"/>
              <w:rPr>
                <w:rFonts w:ascii="宋体" w:hAnsi="宋体" w:cs="宋体"/>
                <w:b/>
                <w:sz w:val="24"/>
              </w:rPr>
            </w:pPr>
            <w:r>
              <w:rPr>
                <w:rFonts w:hint="eastAsia" w:ascii="宋体" w:hAnsi="宋体" w:cs="宋体"/>
                <w:b/>
                <w:sz w:val="24"/>
              </w:rPr>
              <w:t>序号</w:t>
            </w:r>
          </w:p>
        </w:tc>
        <w:tc>
          <w:tcPr>
            <w:tcW w:w="690" w:type="pct"/>
            <w:vAlign w:val="center"/>
          </w:tcPr>
          <w:p>
            <w:pPr>
              <w:spacing w:line="480" w:lineRule="exact"/>
              <w:jc w:val="center"/>
              <w:rPr>
                <w:rFonts w:ascii="宋体" w:hAnsi="宋体" w:cs="宋体"/>
                <w:b/>
                <w:sz w:val="24"/>
              </w:rPr>
            </w:pPr>
            <w:r>
              <w:rPr>
                <w:rFonts w:hint="eastAsia" w:ascii="宋体" w:hAnsi="宋体" w:cs="宋体"/>
                <w:b/>
                <w:sz w:val="24"/>
              </w:rPr>
              <w:t>品目名称</w:t>
            </w:r>
          </w:p>
        </w:tc>
        <w:tc>
          <w:tcPr>
            <w:tcW w:w="767" w:type="pct"/>
            <w:vAlign w:val="center"/>
          </w:tcPr>
          <w:p>
            <w:pPr>
              <w:spacing w:line="480" w:lineRule="exact"/>
              <w:jc w:val="center"/>
              <w:rPr>
                <w:rFonts w:ascii="宋体" w:hAnsi="宋体" w:cs="宋体"/>
                <w:b/>
                <w:sz w:val="24"/>
              </w:rPr>
            </w:pPr>
            <w:r>
              <w:rPr>
                <w:rFonts w:hint="eastAsia" w:ascii="宋体" w:hAnsi="宋体" w:cs="宋体"/>
                <w:b/>
                <w:sz w:val="24"/>
              </w:rPr>
              <w:t>标的名称</w:t>
            </w:r>
          </w:p>
        </w:tc>
        <w:tc>
          <w:tcPr>
            <w:tcW w:w="384" w:type="pct"/>
            <w:vAlign w:val="center"/>
          </w:tcPr>
          <w:p>
            <w:pPr>
              <w:spacing w:line="480" w:lineRule="exact"/>
              <w:jc w:val="center"/>
              <w:rPr>
                <w:rFonts w:ascii="宋体" w:hAnsi="宋体" w:cs="宋体"/>
                <w:b/>
                <w:sz w:val="24"/>
              </w:rPr>
            </w:pPr>
            <w:r>
              <w:rPr>
                <w:rFonts w:hint="eastAsia" w:ascii="宋体" w:hAnsi="宋体" w:cs="宋体"/>
                <w:b/>
                <w:sz w:val="24"/>
              </w:rPr>
              <w:t>单位</w:t>
            </w:r>
          </w:p>
        </w:tc>
        <w:tc>
          <w:tcPr>
            <w:tcW w:w="384" w:type="pct"/>
            <w:vAlign w:val="center"/>
          </w:tcPr>
          <w:p>
            <w:pPr>
              <w:spacing w:line="480" w:lineRule="exact"/>
              <w:jc w:val="center"/>
              <w:rPr>
                <w:rFonts w:ascii="宋体" w:hAnsi="宋体" w:cs="宋体"/>
                <w:b/>
                <w:sz w:val="24"/>
              </w:rPr>
            </w:pPr>
            <w:r>
              <w:rPr>
                <w:rFonts w:hint="eastAsia" w:ascii="宋体" w:hAnsi="宋体" w:cs="宋体"/>
                <w:b/>
                <w:sz w:val="24"/>
              </w:rPr>
              <w:t>数量</w:t>
            </w:r>
          </w:p>
        </w:tc>
        <w:tc>
          <w:tcPr>
            <w:tcW w:w="690" w:type="pct"/>
            <w:vAlign w:val="center"/>
          </w:tcPr>
          <w:p>
            <w:pPr>
              <w:spacing w:line="480" w:lineRule="exact"/>
              <w:jc w:val="center"/>
              <w:rPr>
                <w:rFonts w:ascii="宋体" w:hAnsi="宋体" w:cs="宋体"/>
                <w:b/>
                <w:sz w:val="24"/>
              </w:rPr>
            </w:pPr>
            <w:r>
              <w:rPr>
                <w:rFonts w:hint="eastAsia" w:ascii="宋体" w:hAnsi="宋体" w:cs="宋体"/>
                <w:b/>
                <w:sz w:val="24"/>
              </w:rPr>
              <w:t>分项预算单价（元）</w:t>
            </w:r>
          </w:p>
        </w:tc>
        <w:tc>
          <w:tcPr>
            <w:tcW w:w="690" w:type="pct"/>
            <w:vAlign w:val="center"/>
          </w:tcPr>
          <w:p>
            <w:pPr>
              <w:spacing w:line="480" w:lineRule="exact"/>
              <w:jc w:val="center"/>
              <w:rPr>
                <w:rFonts w:ascii="宋体" w:hAnsi="宋体" w:cs="宋体"/>
                <w:b/>
                <w:sz w:val="24"/>
              </w:rPr>
            </w:pPr>
            <w:r>
              <w:rPr>
                <w:rFonts w:hint="eastAsia" w:ascii="宋体" w:hAnsi="宋体" w:cs="宋体"/>
                <w:b/>
                <w:sz w:val="24"/>
              </w:rPr>
              <w:t>分项预算总价（元）</w:t>
            </w:r>
          </w:p>
        </w:tc>
        <w:tc>
          <w:tcPr>
            <w:tcW w:w="696" w:type="pct"/>
            <w:vAlign w:val="center"/>
          </w:tcPr>
          <w:p>
            <w:pPr>
              <w:spacing w:line="480" w:lineRule="exact"/>
              <w:jc w:val="center"/>
              <w:rPr>
                <w:rFonts w:ascii="宋体" w:hAnsi="宋体" w:cs="宋体"/>
                <w:b/>
                <w:sz w:val="24"/>
              </w:rPr>
            </w:pPr>
            <w:r>
              <w:rPr>
                <w:rFonts w:hint="eastAsia" w:ascii="宋体" w:hAnsi="宋体" w:cs="宋体"/>
                <w:b/>
                <w:sz w:val="24"/>
              </w:rPr>
              <w:t>所属行业</w:t>
            </w:r>
          </w:p>
        </w:tc>
        <w:tc>
          <w:tcPr>
            <w:tcW w:w="465" w:type="pct"/>
            <w:vAlign w:val="center"/>
          </w:tcPr>
          <w:p>
            <w:pPr>
              <w:spacing w:line="480" w:lineRule="exact"/>
              <w:jc w:val="center"/>
              <w:rPr>
                <w:rFonts w:ascii="宋体" w:hAnsi="宋体" w:cs="宋体"/>
                <w:b/>
                <w:sz w:val="24"/>
              </w:rPr>
            </w:pPr>
            <w:r>
              <w:rPr>
                <w:rFonts w:hint="eastAsia" w:ascii="宋体" w:hAnsi="宋体" w:cs="宋体"/>
                <w:b/>
                <w:sz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19" w:hRule="atLeast"/>
          <w:jc w:val="center"/>
        </w:trPr>
        <w:tc>
          <w:tcPr>
            <w:tcW w:w="230" w:type="pct"/>
            <w:vAlign w:val="center"/>
          </w:tcPr>
          <w:p>
            <w:pPr>
              <w:spacing w:line="480" w:lineRule="exact"/>
              <w:jc w:val="center"/>
              <w:rPr>
                <w:rFonts w:ascii="宋体" w:hAnsi="宋体" w:cs="宋体"/>
                <w:sz w:val="24"/>
              </w:rPr>
            </w:pPr>
            <w:r>
              <w:rPr>
                <w:rFonts w:hint="eastAsia" w:ascii="宋体" w:hAnsi="宋体" w:cs="宋体"/>
                <w:sz w:val="24"/>
              </w:rPr>
              <w:t>1</w:t>
            </w:r>
          </w:p>
        </w:tc>
        <w:tc>
          <w:tcPr>
            <w:tcW w:w="690" w:type="pct"/>
            <w:vAlign w:val="center"/>
          </w:tcPr>
          <w:p>
            <w:pPr>
              <w:spacing w:line="480" w:lineRule="exact"/>
              <w:jc w:val="center"/>
              <w:rPr>
                <w:rFonts w:ascii="宋体" w:hAnsi="宋体" w:cs="宋体"/>
                <w:sz w:val="24"/>
                <w:szCs w:val="24"/>
              </w:rPr>
            </w:pPr>
            <w:r>
              <w:rPr>
                <w:rFonts w:hint="eastAsia" w:ascii="宋体" w:hAnsi="宋体" w:cs="宋体"/>
                <w:sz w:val="24"/>
                <w:szCs w:val="24"/>
              </w:rPr>
              <w:t>其他服务</w:t>
            </w:r>
          </w:p>
        </w:tc>
        <w:tc>
          <w:tcPr>
            <w:tcW w:w="1395" w:type="dxa"/>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cs="宋体" w:asciiTheme="minorEastAsia" w:hAnsiTheme="minorEastAsia" w:eastAsiaTheme="minorEastAsia"/>
                <w:color w:val="auto"/>
                <w:sz w:val="24"/>
                <w:szCs w:val="24"/>
                <w:highlight w:val="none"/>
                <w:lang w:eastAsia="zh-CN"/>
              </w:rPr>
              <w:t>江门市中小企业数字化转型城市试点智库服务</w:t>
            </w:r>
          </w:p>
        </w:tc>
        <w:tc>
          <w:tcPr>
            <w:tcW w:w="384" w:type="pct"/>
            <w:vAlign w:val="center"/>
          </w:tcPr>
          <w:p>
            <w:pPr>
              <w:jc w:val="center"/>
              <w:rPr>
                <w:rFonts w:ascii="宋体" w:hAnsi="宋体" w:cs="宋体"/>
                <w:color w:val="auto"/>
                <w:highlight w:val="none"/>
              </w:rPr>
            </w:pPr>
            <w:r>
              <w:rPr>
                <w:rFonts w:hint="eastAsia" w:ascii="宋体" w:hAnsi="宋体" w:cs="宋体"/>
                <w:color w:val="auto"/>
                <w:sz w:val="24"/>
                <w:szCs w:val="24"/>
                <w:highlight w:val="none"/>
              </w:rPr>
              <w:t>项</w:t>
            </w:r>
          </w:p>
        </w:tc>
        <w:tc>
          <w:tcPr>
            <w:tcW w:w="384" w:type="pct"/>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690" w:type="pct"/>
            <w:vAlign w:val="center"/>
          </w:tcPr>
          <w:p>
            <w:pPr>
              <w:spacing w:line="48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5800000.00</w:t>
            </w:r>
          </w:p>
        </w:tc>
        <w:tc>
          <w:tcPr>
            <w:tcW w:w="115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5800000.00</w:t>
            </w:r>
          </w:p>
        </w:tc>
        <w:tc>
          <w:tcPr>
            <w:tcW w:w="696" w:type="pct"/>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其他未列明行业</w:t>
            </w:r>
          </w:p>
        </w:tc>
        <w:tc>
          <w:tcPr>
            <w:tcW w:w="465" w:type="pct"/>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详见附表一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19" w:hRule="atLeast"/>
          <w:jc w:val="center"/>
        </w:trPr>
        <w:tc>
          <w:tcPr>
            <w:tcW w:w="230" w:type="pct"/>
            <w:vAlign w:val="center"/>
          </w:tcPr>
          <w:p>
            <w:pPr>
              <w:spacing w:line="480" w:lineRule="exact"/>
              <w:jc w:val="center"/>
              <w:rPr>
                <w:rFonts w:ascii="宋体" w:hAnsi="宋体" w:cs="宋体"/>
                <w:sz w:val="24"/>
              </w:rPr>
            </w:pPr>
            <w:r>
              <w:rPr>
                <w:rFonts w:hint="eastAsia" w:ascii="宋体" w:hAnsi="宋体" w:cs="宋体"/>
                <w:sz w:val="24"/>
              </w:rPr>
              <w:t>2</w:t>
            </w:r>
          </w:p>
        </w:tc>
        <w:tc>
          <w:tcPr>
            <w:tcW w:w="690" w:type="pct"/>
            <w:vAlign w:val="center"/>
          </w:tcPr>
          <w:p>
            <w:pPr>
              <w:spacing w:line="480" w:lineRule="exact"/>
              <w:jc w:val="center"/>
              <w:rPr>
                <w:rFonts w:ascii="宋体" w:hAnsi="宋体" w:cs="宋体"/>
                <w:sz w:val="24"/>
                <w:szCs w:val="24"/>
              </w:rPr>
            </w:pPr>
            <w:r>
              <w:rPr>
                <w:rFonts w:hint="eastAsia" w:ascii="宋体" w:hAnsi="宋体" w:cs="宋体"/>
                <w:sz w:val="24"/>
                <w:szCs w:val="24"/>
              </w:rPr>
              <w:t>其他服务</w:t>
            </w:r>
          </w:p>
        </w:tc>
        <w:tc>
          <w:tcPr>
            <w:tcW w:w="1395" w:type="dxa"/>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cs="宋体" w:asciiTheme="minorEastAsia" w:hAnsiTheme="minorEastAsia" w:eastAsiaTheme="minorEastAsia"/>
                <w:color w:val="auto"/>
                <w:sz w:val="24"/>
                <w:szCs w:val="24"/>
                <w:highlight w:val="none"/>
                <w:lang w:eastAsia="zh-CN"/>
              </w:rPr>
              <w:t>江门市中小企业数字化转型城市试点数字化水平诊断服务</w:t>
            </w:r>
          </w:p>
        </w:tc>
        <w:tc>
          <w:tcPr>
            <w:tcW w:w="638"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项</w:t>
            </w:r>
          </w:p>
        </w:tc>
        <w:tc>
          <w:tcPr>
            <w:tcW w:w="639" w:type="dxa"/>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690" w:type="pct"/>
            <w:vAlign w:val="center"/>
          </w:tcPr>
          <w:p>
            <w:pPr>
              <w:spacing w:line="48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5000000.00</w:t>
            </w:r>
          </w:p>
        </w:tc>
        <w:tc>
          <w:tcPr>
            <w:tcW w:w="115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5000000.00</w:t>
            </w:r>
          </w:p>
        </w:tc>
        <w:tc>
          <w:tcPr>
            <w:tcW w:w="696" w:type="pct"/>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其他未列明行业</w:t>
            </w:r>
          </w:p>
        </w:tc>
        <w:tc>
          <w:tcPr>
            <w:tcW w:w="465" w:type="pct"/>
            <w:vAlign w:val="center"/>
          </w:tcPr>
          <w:p>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详见附表一</w:t>
            </w:r>
          </w:p>
        </w:tc>
      </w:tr>
    </w:tbl>
    <w:p>
      <w:pPr>
        <w:spacing w:line="480" w:lineRule="exact"/>
        <w:ind w:firstLine="480"/>
        <w:jc w:val="left"/>
        <w:rPr>
          <w:rFonts w:ascii="宋体" w:hAnsi="宋体" w:cs="宋体"/>
          <w:sz w:val="24"/>
        </w:rPr>
      </w:pPr>
    </w:p>
    <w:p>
      <w:pPr>
        <w:spacing w:line="480" w:lineRule="exact"/>
        <w:ind w:firstLine="482"/>
        <w:jc w:val="left"/>
        <w:rPr>
          <w:rFonts w:ascii="宋体" w:hAnsi="宋体" w:cs="宋体"/>
          <w:b/>
          <w:sz w:val="24"/>
          <w:szCs w:val="24"/>
        </w:rPr>
      </w:pPr>
      <w:r>
        <w:rPr>
          <w:rFonts w:hint="eastAsia" w:ascii="宋体" w:hAnsi="宋体" w:cs="宋体"/>
          <w:b/>
          <w:sz w:val="24"/>
          <w:szCs w:val="24"/>
        </w:rPr>
        <w:t>附表一：</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具体详见</w:t>
      </w:r>
      <w:bookmarkStart w:id="0" w:name="OLE_LINK8"/>
      <w:bookmarkStart w:id="1" w:name="OLE_LINK9"/>
      <w:r>
        <w:rPr>
          <w:rFonts w:hint="eastAsia" w:asciiTheme="minorEastAsia" w:hAnsiTheme="minorEastAsia" w:eastAsiaTheme="minorEastAsia"/>
          <w:bCs/>
          <w:color w:val="auto"/>
          <w:kern w:val="0"/>
          <w:sz w:val="24"/>
          <w:highlight w:val="none"/>
        </w:rPr>
        <w:t>第二章</w:t>
      </w:r>
      <w:bookmarkEnd w:id="0"/>
      <w:bookmarkEnd w:id="1"/>
      <w:r>
        <w:rPr>
          <w:rFonts w:hint="eastAsia" w:asciiTheme="minorEastAsia" w:hAnsiTheme="minorEastAsia" w:eastAsiaTheme="minorEastAsia"/>
          <w:bCs/>
          <w:color w:val="auto"/>
          <w:kern w:val="0"/>
          <w:sz w:val="24"/>
          <w:highlight w:val="none"/>
        </w:rPr>
        <w:t xml:space="preserve"> </w:t>
      </w:r>
      <w:r>
        <w:rPr>
          <w:rFonts w:hint="eastAsia" w:ascii="宋体" w:hAnsi="宋体" w:cs="宋体"/>
          <w:color w:val="auto"/>
          <w:sz w:val="24"/>
          <w:szCs w:val="24"/>
          <w:highlight w:val="none"/>
        </w:rPr>
        <w:t>采购需求。</w:t>
      </w:r>
    </w:p>
    <w:p>
      <w:pPr>
        <w:pStyle w:val="5"/>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36"/>
        <w:gridCol w:w="7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99" w:type="dxa"/>
            <w:vAlign w:val="center"/>
          </w:tcPr>
          <w:p>
            <w:pPr>
              <w:spacing w:line="480" w:lineRule="exact"/>
              <w:jc w:val="center"/>
              <w:rPr>
                <w:rFonts w:ascii="宋体" w:hAnsi="宋体" w:cs="宋体"/>
                <w:sz w:val="24"/>
              </w:rPr>
            </w:pPr>
            <w:r>
              <w:rPr>
                <w:rFonts w:hint="eastAsia" w:ascii="宋体" w:hAnsi="宋体" w:cs="宋体"/>
                <w:sz w:val="24"/>
              </w:rPr>
              <w:t>说明</w:t>
            </w:r>
          </w:p>
        </w:tc>
        <w:tc>
          <w:tcPr>
            <w:tcW w:w="8488" w:type="dxa"/>
            <w:vAlign w:val="center"/>
          </w:tcPr>
          <w:p>
            <w:pPr>
              <w:spacing w:line="480" w:lineRule="exact"/>
              <w:jc w:val="center"/>
              <w:rPr>
                <w:rFonts w:ascii="宋体" w:hAnsi="宋体" w:cs="宋体"/>
                <w:sz w:val="24"/>
              </w:rPr>
            </w:pPr>
            <w:r>
              <w:rPr>
                <w:rFonts w:hint="eastAsia" w:ascii="宋体" w:hAnsi="宋体" w:cs="宋体"/>
                <w:sz w:val="24"/>
              </w:rPr>
              <w:t>打“★”号条款为实质性条款，若有任何一条负偏离或不满足则导致投标（响应）无效。打“▲”号条款为重要技术参数（如有），若有部分“▲”条款未响应或不满足，将根据评审要求影响其得分，但不作为无效投标（响应）条款。</w:t>
            </w:r>
          </w:p>
        </w:tc>
      </w:tr>
    </w:tbl>
    <w:p>
      <w:pPr>
        <w:spacing w:line="480" w:lineRule="exact"/>
        <w:rPr>
          <w:rFonts w:asciiTheme="minorEastAsia" w:hAnsiTheme="minorEastAsia" w:eastAsiaTheme="minorEastAsia"/>
          <w:sz w:val="24"/>
          <w:szCs w:val="24"/>
        </w:rPr>
      </w:pPr>
    </w:p>
    <w:p>
      <w:pPr>
        <w:spacing w:line="480" w:lineRule="exact"/>
        <w:rPr>
          <w:rFonts w:asciiTheme="minorEastAsia" w:hAnsiTheme="minorEastAsia" w:eastAsiaTheme="minorEastAsia"/>
          <w:sz w:val="24"/>
          <w:szCs w:val="24"/>
        </w:rPr>
      </w:pPr>
    </w:p>
    <w:p>
      <w:pPr>
        <w:widowControl/>
        <w:autoSpaceDE/>
        <w:autoSpaceDN/>
        <w:adjustRightInd/>
        <w:spacing w:line="240" w:lineRule="auto"/>
        <w:ind w:firstLine="0" w:firstLineChars="0"/>
        <w:outlineLvl w:val="9"/>
        <w:rPr>
          <w:rFonts w:asciiTheme="minorEastAsia" w:hAnsiTheme="minorEastAsia" w:eastAsiaTheme="minorEastAsia"/>
          <w:b/>
          <w:sz w:val="24"/>
          <w:szCs w:val="24"/>
        </w:rPr>
      </w:pPr>
      <w:r>
        <w:rPr>
          <w:rFonts w:hint="eastAsia" w:asciiTheme="minorEastAsia" w:hAnsiTheme="minorEastAsia" w:eastAsiaTheme="minorEastAsia"/>
          <w:b/>
          <w:sz w:val="24"/>
          <w:szCs w:val="24"/>
        </w:rPr>
        <w:br w:type="page"/>
      </w:r>
    </w:p>
    <w:p>
      <w:pPr>
        <w:autoSpaceDE w:val="0"/>
        <w:autoSpaceDN w:val="0"/>
        <w:adjustRightInd w:val="0"/>
        <w:spacing w:line="480" w:lineRule="exact"/>
        <w:ind w:firstLine="481" w:firstLineChars="200"/>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第四条 本项目的评标因素如下：</w:t>
      </w:r>
    </w:p>
    <w:p>
      <w:pPr>
        <w:pStyle w:val="7"/>
        <w:tabs>
          <w:tab w:val="left" w:pos="945"/>
          <w:tab w:val="left" w:pos="1050"/>
        </w:tabs>
        <w:spacing w:line="480" w:lineRule="exact"/>
        <w:ind w:firstLine="481" w:firstLineChars="200"/>
        <w:rPr>
          <w:rFonts w:hAnsi="宋体"/>
          <w:b/>
          <w:sz w:val="24"/>
          <w:szCs w:val="24"/>
        </w:rPr>
      </w:pPr>
    </w:p>
    <w:tbl>
      <w:tblPr>
        <w:tblStyle w:val="14"/>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49"/>
        <w:gridCol w:w="1204"/>
        <w:gridCol w:w="604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9" w:type="dxa"/>
          </w:tcPr>
          <w:p>
            <w:pPr>
              <w:pStyle w:val="37"/>
              <w:spacing w:line="480" w:lineRule="exact"/>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评审因素</w:t>
            </w:r>
          </w:p>
        </w:tc>
        <w:tc>
          <w:tcPr>
            <w:tcW w:w="7248" w:type="dxa"/>
            <w:gridSpan w:val="2"/>
          </w:tcPr>
          <w:p>
            <w:pPr>
              <w:pStyle w:val="37"/>
              <w:spacing w:line="480" w:lineRule="exact"/>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9" w:type="dxa"/>
          </w:tcPr>
          <w:p>
            <w:pPr>
              <w:pStyle w:val="37"/>
              <w:spacing w:line="480" w:lineRule="exact"/>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分值构成</w:t>
            </w:r>
          </w:p>
        </w:tc>
        <w:tc>
          <w:tcPr>
            <w:tcW w:w="7248" w:type="dxa"/>
            <w:gridSpan w:val="2"/>
          </w:tcPr>
          <w:p>
            <w:pPr>
              <w:pStyle w:val="37"/>
              <w:spacing w:line="48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商务部分</w:t>
            </w:r>
            <w:r>
              <w:rPr>
                <w:rFonts w:ascii="宋体" w:hAnsi="宋体" w:eastAsia="宋体" w:cs="宋体"/>
                <w:color w:val="auto"/>
                <w:sz w:val="24"/>
                <w:szCs w:val="24"/>
                <w:highlight w:val="none"/>
                <w:lang w:eastAsia="zh-CN"/>
              </w:rPr>
              <w:t>55</w:t>
            </w:r>
            <w:r>
              <w:rPr>
                <w:rFonts w:ascii="宋体" w:hAnsi="宋体" w:eastAsia="宋体" w:cs="宋体"/>
                <w:color w:val="auto"/>
                <w:sz w:val="24"/>
                <w:szCs w:val="24"/>
                <w:highlight w:val="none"/>
              </w:rPr>
              <w:t>.0分</w:t>
            </w:r>
          </w:p>
          <w:p>
            <w:pPr>
              <w:pStyle w:val="37"/>
              <w:spacing w:line="480" w:lineRule="exact"/>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rPr>
              <w:t>技术部分</w:t>
            </w:r>
            <w:r>
              <w:rPr>
                <w:rFonts w:ascii="宋体" w:hAnsi="宋体" w:eastAsia="宋体" w:cs="宋体"/>
                <w:color w:val="auto"/>
                <w:sz w:val="24"/>
                <w:szCs w:val="24"/>
                <w:highlight w:val="none"/>
                <w:lang w:eastAsia="zh-CN"/>
              </w:rPr>
              <w:t>35</w:t>
            </w:r>
            <w:r>
              <w:rPr>
                <w:rFonts w:ascii="宋体" w:hAnsi="宋体" w:eastAsia="宋体" w:cs="宋体"/>
                <w:color w:val="auto"/>
                <w:sz w:val="24"/>
                <w:szCs w:val="24"/>
                <w:highlight w:val="none"/>
              </w:rPr>
              <w:t>.0分</w:t>
            </w:r>
          </w:p>
          <w:p>
            <w:pPr>
              <w:pStyle w:val="37"/>
              <w:spacing w:line="48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报价得分10.0分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9" w:type="dxa"/>
            <w:vMerge w:val="restart"/>
          </w:tcPr>
          <w:p>
            <w:pPr>
              <w:pStyle w:val="37"/>
              <w:spacing w:line="480" w:lineRule="exact"/>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技术部分</w:t>
            </w:r>
          </w:p>
        </w:tc>
        <w:tc>
          <w:tcPr>
            <w:tcW w:w="1204" w:type="dxa"/>
          </w:tcPr>
          <w:p>
            <w:pPr>
              <w:pStyle w:val="37"/>
              <w:spacing w:line="48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带“▲”重要技术条款响应情况</w:t>
            </w:r>
            <w:r>
              <w:rPr>
                <w:rFonts w:ascii="宋体" w:hAnsi="宋体" w:eastAsia="宋体" w:cs="宋体"/>
                <w:color w:val="auto"/>
                <w:sz w:val="24"/>
                <w:szCs w:val="24"/>
                <w:highlight w:val="none"/>
                <w:lang w:eastAsia="zh-CN"/>
              </w:rPr>
              <w:t>（9</w:t>
            </w:r>
            <w:r>
              <w:rPr>
                <w:rFonts w:ascii="宋体" w:hAnsi="宋体" w:eastAsia="宋体" w:cs="宋体"/>
                <w:color w:val="auto"/>
                <w:sz w:val="24"/>
                <w:szCs w:val="24"/>
                <w:highlight w:val="none"/>
              </w:rPr>
              <w:t>.0分</w:t>
            </w:r>
            <w:r>
              <w:rPr>
                <w:rFonts w:ascii="宋体" w:hAnsi="宋体" w:eastAsia="宋体" w:cs="宋体"/>
                <w:color w:val="auto"/>
                <w:sz w:val="24"/>
                <w:szCs w:val="24"/>
                <w:highlight w:val="none"/>
                <w:lang w:eastAsia="zh-CN"/>
              </w:rPr>
              <w:t>）</w:t>
            </w:r>
          </w:p>
        </w:tc>
        <w:tc>
          <w:tcPr>
            <w:tcW w:w="6044" w:type="dxa"/>
          </w:tcPr>
          <w:p>
            <w:pPr>
              <w:pStyle w:val="37"/>
              <w:spacing w:line="48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根据投标人对招标文件“第二章 采购需求”</w:t>
            </w:r>
            <w:r>
              <w:rPr>
                <w:rFonts w:ascii="宋体" w:hAnsi="宋体" w:cs="宋体"/>
                <w:color w:val="auto"/>
                <w:kern w:val="2"/>
                <w:sz w:val="24"/>
                <w:szCs w:val="24"/>
                <w:highlight w:val="none"/>
              </w:rPr>
              <w:t>中“（三）投标人技术要求”的带“▲”重要技术条款（共7项）的响应情况进行评审</w:t>
            </w:r>
            <w:r>
              <w:rPr>
                <w:rFonts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本项目带“▲”重要技术条款共3项：</w:t>
            </w:r>
            <w:r>
              <w:rPr>
                <w:rFonts w:ascii="宋体" w:hAnsi="宋体" w:cs="宋体"/>
                <w:color w:val="auto"/>
                <w:kern w:val="2"/>
                <w:sz w:val="24"/>
                <w:szCs w:val="24"/>
                <w:highlight w:val="none"/>
              </w:rPr>
              <w:t>每满足一项带“▲”重要技术条款得</w:t>
            </w:r>
            <w:r>
              <w:rPr>
                <w:rFonts w:ascii="宋体" w:hAnsi="宋体" w:cs="宋体"/>
                <w:color w:val="auto"/>
                <w:kern w:val="2"/>
                <w:sz w:val="24"/>
                <w:szCs w:val="24"/>
                <w:highlight w:val="none"/>
                <w:lang w:eastAsia="zh-CN"/>
              </w:rPr>
              <w:t>3</w:t>
            </w:r>
            <w:r>
              <w:rPr>
                <w:rFonts w:ascii="宋体" w:hAnsi="宋体" w:cs="宋体"/>
                <w:color w:val="auto"/>
                <w:kern w:val="2"/>
                <w:sz w:val="24"/>
                <w:szCs w:val="24"/>
                <w:highlight w:val="none"/>
              </w:rPr>
              <w:t>分，不满足或未响应的不得分。本项最高得分为</w:t>
            </w:r>
            <w:r>
              <w:rPr>
                <w:rFonts w:ascii="宋体" w:hAnsi="宋体" w:cs="宋体"/>
                <w:color w:val="auto"/>
                <w:kern w:val="2"/>
                <w:sz w:val="24"/>
                <w:szCs w:val="24"/>
                <w:highlight w:val="none"/>
                <w:lang w:eastAsia="zh-CN"/>
              </w:rPr>
              <w:t>9</w:t>
            </w:r>
            <w:r>
              <w:rPr>
                <w:rFonts w:ascii="宋体" w:hAnsi="宋体" w:cs="宋体"/>
                <w:color w:val="auto"/>
                <w:kern w:val="2"/>
                <w:sz w:val="24"/>
                <w:szCs w:val="24"/>
                <w:highlight w:val="none"/>
              </w:rPr>
              <w:t>分</w:t>
            </w:r>
            <w:r>
              <w:rPr>
                <w:rFonts w:ascii="宋体" w:hAnsi="宋体" w:eastAsia="宋体" w:cs="宋体"/>
                <w:color w:val="auto"/>
                <w:sz w:val="24"/>
                <w:szCs w:val="24"/>
                <w:highlight w:val="none"/>
              </w:rPr>
              <w:t xml:space="preserve">。 </w:t>
            </w:r>
          </w:p>
          <w:p>
            <w:pPr>
              <w:pStyle w:val="37"/>
              <w:spacing w:line="48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注：如招标文件中标有“▲”的任一项指标或要求需提供相关证明文件的而未提供的，则视为不满足；如招标文件中无明确要求提供相关证明文件的，则以投标人投标文件中的响应情况为准，若投标文件中未响应的视为不满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9" w:type="dxa"/>
            <w:vMerge w:val="continue"/>
          </w:tcPr>
          <w:p>
            <w:pPr>
              <w:spacing w:line="480" w:lineRule="exact"/>
              <w:rPr>
                <w:rFonts w:ascii="宋体" w:hAnsi="宋体" w:cs="宋体"/>
                <w:color w:val="auto"/>
                <w:sz w:val="24"/>
                <w:szCs w:val="24"/>
                <w:highlight w:val="none"/>
              </w:rPr>
            </w:pPr>
          </w:p>
        </w:tc>
        <w:tc>
          <w:tcPr>
            <w:tcW w:w="1204" w:type="dxa"/>
          </w:tcPr>
          <w:p>
            <w:pPr>
              <w:pStyle w:val="37"/>
              <w:spacing w:line="480" w:lineRule="exact"/>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rPr>
              <w:t>项目整体理解与分析方案</w:t>
            </w:r>
            <w:r>
              <w:rPr>
                <w:rFonts w:ascii="宋体" w:hAnsi="宋体" w:eastAsia="宋体" w:cs="宋体"/>
                <w:color w:val="auto"/>
                <w:sz w:val="24"/>
                <w:szCs w:val="24"/>
                <w:highlight w:val="none"/>
                <w:lang w:eastAsia="zh-CN"/>
              </w:rPr>
              <w:t>（7</w:t>
            </w:r>
            <w:r>
              <w:rPr>
                <w:rFonts w:ascii="宋体" w:hAnsi="宋体" w:eastAsia="宋体" w:cs="宋体"/>
                <w:color w:val="auto"/>
                <w:sz w:val="24"/>
                <w:szCs w:val="24"/>
                <w:highlight w:val="none"/>
              </w:rPr>
              <w:t>.0分</w:t>
            </w:r>
            <w:r>
              <w:rPr>
                <w:rFonts w:ascii="宋体" w:hAnsi="宋体" w:eastAsia="宋体" w:cs="宋体"/>
                <w:color w:val="auto"/>
                <w:sz w:val="24"/>
                <w:szCs w:val="24"/>
                <w:highlight w:val="none"/>
                <w:lang w:eastAsia="zh-CN"/>
              </w:rPr>
              <w:t>）</w:t>
            </w:r>
          </w:p>
        </w:tc>
        <w:tc>
          <w:tcPr>
            <w:tcW w:w="6044" w:type="dxa"/>
          </w:tcPr>
          <w:p>
            <w:pPr>
              <w:pStyle w:val="37"/>
              <w:spacing w:line="48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根据投标人针对本项目采购需求所提供的项目整体理解与分析方案进行评审，内容包括：①对项目背景的解读；②项目实施目标；③项目现状的整体认识与分析。所提供的项目整体理解与分析方案应具针对性、条理清晰，内容明确具体，分析深刻、全面，贴合项目实际情况。</w:t>
            </w:r>
          </w:p>
          <w:p>
            <w:pPr>
              <w:pStyle w:val="37"/>
              <w:spacing w:line="48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lang w:eastAsia="zh-CN"/>
              </w:rPr>
              <w:t>1.</w:t>
            </w:r>
            <w:r>
              <w:rPr>
                <w:rFonts w:ascii="宋体" w:hAnsi="宋体" w:eastAsia="宋体" w:cs="宋体"/>
                <w:color w:val="auto"/>
                <w:sz w:val="24"/>
                <w:szCs w:val="24"/>
                <w:highlight w:val="none"/>
              </w:rPr>
              <w:t>项目整体理解与分析方案完全满足且优于采购需求的，得</w:t>
            </w:r>
            <w:r>
              <w:rPr>
                <w:rFonts w:ascii="宋体" w:hAnsi="宋体" w:eastAsia="宋体" w:cs="宋体"/>
                <w:color w:val="auto"/>
                <w:sz w:val="24"/>
                <w:szCs w:val="24"/>
                <w:highlight w:val="none"/>
                <w:lang w:eastAsia="zh-CN"/>
              </w:rPr>
              <w:t>7</w:t>
            </w:r>
            <w:r>
              <w:rPr>
                <w:rFonts w:ascii="宋体" w:hAnsi="宋体" w:eastAsia="宋体" w:cs="宋体"/>
                <w:color w:val="auto"/>
                <w:sz w:val="24"/>
                <w:szCs w:val="24"/>
                <w:highlight w:val="none"/>
              </w:rPr>
              <w:t xml:space="preserve">分； </w:t>
            </w:r>
          </w:p>
          <w:p>
            <w:pPr>
              <w:pStyle w:val="37"/>
              <w:spacing w:line="48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lang w:eastAsia="zh-CN"/>
              </w:rPr>
              <w:t>2.</w:t>
            </w:r>
            <w:r>
              <w:rPr>
                <w:rFonts w:ascii="宋体" w:hAnsi="宋体" w:eastAsia="宋体" w:cs="宋体"/>
                <w:color w:val="auto"/>
                <w:sz w:val="24"/>
                <w:szCs w:val="24"/>
                <w:highlight w:val="none"/>
              </w:rPr>
              <w:t>项目整体理解与分析方案完全满足采购需求的，得</w:t>
            </w:r>
            <w:r>
              <w:rPr>
                <w:rFonts w:ascii="宋体" w:hAnsi="宋体" w:eastAsia="宋体" w:cs="宋体"/>
                <w:color w:val="auto"/>
                <w:sz w:val="24"/>
                <w:szCs w:val="24"/>
                <w:highlight w:val="none"/>
                <w:lang w:eastAsia="zh-CN"/>
              </w:rPr>
              <w:t>4</w:t>
            </w:r>
            <w:r>
              <w:rPr>
                <w:rFonts w:ascii="宋体" w:hAnsi="宋体" w:eastAsia="宋体" w:cs="宋体"/>
                <w:color w:val="auto"/>
                <w:sz w:val="24"/>
                <w:szCs w:val="24"/>
                <w:highlight w:val="none"/>
              </w:rPr>
              <w:t>分；</w:t>
            </w:r>
          </w:p>
          <w:p>
            <w:pPr>
              <w:pStyle w:val="37"/>
              <w:spacing w:line="48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3.项目整体理解与分析方案部分满足采购需求的，得2分；</w:t>
            </w:r>
          </w:p>
          <w:p>
            <w:pPr>
              <w:pStyle w:val="37"/>
              <w:spacing w:line="48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4.未提供项目整体理解与分析方案的不得分。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1249" w:type="dxa"/>
            <w:vMerge w:val="continue"/>
          </w:tcPr>
          <w:p>
            <w:pPr>
              <w:spacing w:line="480" w:lineRule="exact"/>
              <w:rPr>
                <w:rFonts w:ascii="宋体" w:hAnsi="宋体" w:cs="宋体"/>
                <w:color w:val="auto"/>
                <w:sz w:val="24"/>
                <w:szCs w:val="24"/>
                <w:highlight w:val="none"/>
              </w:rPr>
            </w:pPr>
          </w:p>
        </w:tc>
        <w:tc>
          <w:tcPr>
            <w:tcW w:w="1204" w:type="dxa"/>
          </w:tcPr>
          <w:p>
            <w:pPr>
              <w:pStyle w:val="37"/>
              <w:spacing w:line="480" w:lineRule="exact"/>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rPr>
              <w:t>项目实施方案</w:t>
            </w:r>
            <w:r>
              <w:rPr>
                <w:rFonts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14.0分</w:t>
            </w:r>
            <w:r>
              <w:rPr>
                <w:rFonts w:ascii="宋体" w:hAnsi="宋体" w:eastAsia="宋体" w:cs="宋体"/>
                <w:color w:val="auto"/>
                <w:sz w:val="24"/>
                <w:szCs w:val="24"/>
                <w:highlight w:val="none"/>
                <w:lang w:eastAsia="zh-CN"/>
              </w:rPr>
              <w:t>）</w:t>
            </w:r>
          </w:p>
        </w:tc>
        <w:tc>
          <w:tcPr>
            <w:tcW w:w="6044" w:type="dxa"/>
          </w:tcPr>
          <w:p>
            <w:pPr>
              <w:pStyle w:val="37"/>
              <w:spacing w:line="48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根据投标人针对本项目采购需求所提供的项目实施方案进行评审，内容包括：①整体实施方案；②各项服务的分项实施方案；③项目重点、难点分析及应对措施；④项目实施进度计划；⑤质量保障措施。所提供的项目实施方案应具针对性、条理清晰，内容明确具体，有利于保障项目实施。 </w:t>
            </w:r>
          </w:p>
          <w:p>
            <w:pPr>
              <w:pStyle w:val="37"/>
              <w:spacing w:line="48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lang w:eastAsia="zh-CN"/>
              </w:rPr>
              <w:t>1.</w:t>
            </w:r>
            <w:r>
              <w:rPr>
                <w:rFonts w:ascii="宋体" w:hAnsi="宋体" w:eastAsia="宋体" w:cs="宋体"/>
                <w:color w:val="auto"/>
                <w:sz w:val="24"/>
                <w:szCs w:val="24"/>
                <w:highlight w:val="none"/>
              </w:rPr>
              <w:t xml:space="preserve">项目实施方案完全满足且优于采购需求的，得14分； </w:t>
            </w:r>
          </w:p>
          <w:p>
            <w:pPr>
              <w:pStyle w:val="37"/>
              <w:spacing w:line="48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2.项目实施方案完全满足采购需求的，得9分；</w:t>
            </w:r>
          </w:p>
          <w:p>
            <w:pPr>
              <w:pStyle w:val="37"/>
              <w:spacing w:line="48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3.项目实施方案部分满足采购需求的，得4分；</w:t>
            </w:r>
          </w:p>
          <w:p>
            <w:pPr>
              <w:pStyle w:val="37"/>
              <w:spacing w:line="48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4.未提供项目实施方案的不得分。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4" w:hRule="atLeast"/>
          <w:jc w:val="center"/>
        </w:trPr>
        <w:tc>
          <w:tcPr>
            <w:tcW w:w="1249" w:type="dxa"/>
            <w:vMerge w:val="continue"/>
          </w:tcPr>
          <w:p>
            <w:pPr>
              <w:spacing w:line="480" w:lineRule="exact"/>
              <w:rPr>
                <w:rFonts w:ascii="宋体" w:hAnsi="宋体" w:cs="宋体"/>
                <w:color w:val="auto"/>
                <w:sz w:val="24"/>
                <w:szCs w:val="24"/>
                <w:highlight w:val="none"/>
              </w:rPr>
            </w:pPr>
          </w:p>
        </w:tc>
        <w:tc>
          <w:tcPr>
            <w:tcW w:w="1204" w:type="dxa"/>
          </w:tcPr>
          <w:p>
            <w:pPr>
              <w:pStyle w:val="37"/>
              <w:spacing w:line="480" w:lineRule="exact"/>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rPr>
              <w:t>项目保障</w:t>
            </w:r>
            <w:r>
              <w:rPr>
                <w:rFonts w:ascii="宋体" w:hAnsi="宋体" w:eastAsia="宋体" w:cs="宋体"/>
                <w:color w:val="auto"/>
                <w:sz w:val="24"/>
                <w:szCs w:val="24"/>
                <w:highlight w:val="none"/>
                <w:lang w:eastAsia="zh-CN"/>
              </w:rPr>
              <w:t>方案（5</w:t>
            </w:r>
            <w:r>
              <w:rPr>
                <w:rFonts w:ascii="宋体" w:hAnsi="宋体" w:eastAsia="宋体" w:cs="宋体"/>
                <w:color w:val="auto"/>
                <w:sz w:val="24"/>
                <w:szCs w:val="24"/>
                <w:highlight w:val="none"/>
              </w:rPr>
              <w:t>.0分</w:t>
            </w:r>
            <w:r>
              <w:rPr>
                <w:rFonts w:ascii="宋体" w:hAnsi="宋体" w:eastAsia="宋体" w:cs="宋体"/>
                <w:color w:val="auto"/>
                <w:sz w:val="24"/>
                <w:szCs w:val="24"/>
                <w:highlight w:val="none"/>
                <w:lang w:eastAsia="zh-CN"/>
              </w:rPr>
              <w:t>）</w:t>
            </w:r>
          </w:p>
        </w:tc>
        <w:tc>
          <w:tcPr>
            <w:tcW w:w="6044" w:type="dxa"/>
          </w:tcPr>
          <w:p>
            <w:pPr>
              <w:pStyle w:val="37"/>
              <w:spacing w:line="48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根据投标人针对本项目采购需求所提供的项目保障方案进行评审，内容包括：①针对项目的实施保障承诺；②相应保障方案及措施。所提供的项目保障方案应具针对性、条理清晰，内容明确具体，有利于应对突发事件和保障项目实施。</w:t>
            </w:r>
          </w:p>
          <w:p>
            <w:pPr>
              <w:pStyle w:val="37"/>
              <w:spacing w:line="48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lang w:eastAsia="zh-CN"/>
              </w:rPr>
              <w:t>1.</w:t>
            </w:r>
            <w:r>
              <w:rPr>
                <w:rFonts w:ascii="宋体" w:hAnsi="宋体" w:eastAsia="宋体" w:cs="宋体"/>
                <w:color w:val="auto"/>
                <w:sz w:val="24"/>
                <w:szCs w:val="24"/>
                <w:highlight w:val="none"/>
              </w:rPr>
              <w:t>项目保障方案完全满足且优于采购需求的，得</w:t>
            </w:r>
            <w:r>
              <w:rPr>
                <w:rFonts w:ascii="宋体" w:hAnsi="宋体" w:eastAsia="宋体" w:cs="宋体"/>
                <w:color w:val="auto"/>
                <w:sz w:val="24"/>
                <w:szCs w:val="24"/>
                <w:highlight w:val="none"/>
                <w:lang w:eastAsia="zh-CN"/>
              </w:rPr>
              <w:t>5</w:t>
            </w:r>
            <w:r>
              <w:rPr>
                <w:rFonts w:ascii="宋体" w:hAnsi="宋体" w:eastAsia="宋体" w:cs="宋体"/>
                <w:color w:val="auto"/>
                <w:sz w:val="24"/>
                <w:szCs w:val="24"/>
                <w:highlight w:val="none"/>
              </w:rPr>
              <w:t xml:space="preserve">分； </w:t>
            </w:r>
          </w:p>
          <w:p>
            <w:pPr>
              <w:pStyle w:val="37"/>
              <w:spacing w:line="48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2.项目保障方案完全满足采购需求的，得</w:t>
            </w:r>
            <w:r>
              <w:rPr>
                <w:rFonts w:ascii="宋体" w:hAnsi="宋体" w:eastAsia="宋体" w:cs="宋体"/>
                <w:color w:val="auto"/>
                <w:sz w:val="24"/>
                <w:szCs w:val="24"/>
                <w:highlight w:val="none"/>
                <w:lang w:eastAsia="zh-CN"/>
              </w:rPr>
              <w:t>3</w:t>
            </w:r>
            <w:r>
              <w:rPr>
                <w:rFonts w:ascii="宋体" w:hAnsi="宋体" w:eastAsia="宋体" w:cs="宋体"/>
                <w:color w:val="auto"/>
                <w:sz w:val="24"/>
                <w:szCs w:val="24"/>
                <w:highlight w:val="none"/>
              </w:rPr>
              <w:t>分；</w:t>
            </w:r>
          </w:p>
          <w:p>
            <w:pPr>
              <w:pStyle w:val="37"/>
              <w:spacing w:line="48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3.项目保障方案部分满足采购需求的，得</w:t>
            </w:r>
            <w:r>
              <w:rPr>
                <w:rFonts w:ascii="宋体" w:hAnsi="宋体" w:eastAsia="宋体" w:cs="宋体"/>
                <w:color w:val="auto"/>
                <w:sz w:val="24"/>
                <w:szCs w:val="24"/>
                <w:highlight w:val="none"/>
                <w:lang w:eastAsia="zh-CN"/>
              </w:rPr>
              <w:t>1</w:t>
            </w:r>
            <w:r>
              <w:rPr>
                <w:rFonts w:ascii="宋体" w:hAnsi="宋体" w:eastAsia="宋体" w:cs="宋体"/>
                <w:color w:val="auto"/>
                <w:sz w:val="24"/>
                <w:szCs w:val="24"/>
                <w:highlight w:val="none"/>
              </w:rPr>
              <w:t>分；</w:t>
            </w:r>
          </w:p>
          <w:p>
            <w:pPr>
              <w:pStyle w:val="37"/>
              <w:spacing w:line="48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4.未提供项目保障方案的不得分。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9" w:type="dxa"/>
            <w:vMerge w:val="restart"/>
          </w:tcPr>
          <w:p>
            <w:pPr>
              <w:pStyle w:val="37"/>
              <w:spacing w:line="480" w:lineRule="exact"/>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商务部分</w:t>
            </w:r>
          </w:p>
        </w:tc>
        <w:tc>
          <w:tcPr>
            <w:tcW w:w="1204" w:type="dxa"/>
          </w:tcPr>
          <w:p>
            <w:pPr>
              <w:pStyle w:val="37"/>
              <w:spacing w:line="480" w:lineRule="exact"/>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rPr>
              <w:t xml:space="preserve">项目业绩 </w:t>
            </w:r>
            <w:r>
              <w:rPr>
                <w:rFonts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1</w:t>
            </w:r>
            <w:r>
              <w:rPr>
                <w:rFonts w:ascii="宋体" w:hAnsi="宋体" w:eastAsia="宋体" w:cs="宋体"/>
                <w:color w:val="auto"/>
                <w:sz w:val="24"/>
                <w:szCs w:val="24"/>
                <w:highlight w:val="none"/>
                <w:lang w:eastAsia="zh-CN"/>
              </w:rPr>
              <w:t>8</w:t>
            </w:r>
            <w:r>
              <w:rPr>
                <w:rFonts w:ascii="宋体" w:hAnsi="宋体" w:eastAsia="宋体" w:cs="宋体"/>
                <w:color w:val="auto"/>
                <w:sz w:val="24"/>
                <w:szCs w:val="24"/>
                <w:highlight w:val="none"/>
              </w:rPr>
              <w:t>.0分</w:t>
            </w:r>
            <w:r>
              <w:rPr>
                <w:rFonts w:ascii="宋体" w:hAnsi="宋体" w:eastAsia="宋体" w:cs="宋体"/>
                <w:color w:val="auto"/>
                <w:sz w:val="24"/>
                <w:szCs w:val="24"/>
                <w:highlight w:val="none"/>
                <w:lang w:eastAsia="zh-CN"/>
              </w:rPr>
              <w:t>）</w:t>
            </w:r>
          </w:p>
        </w:tc>
        <w:tc>
          <w:tcPr>
            <w:tcW w:w="6044" w:type="dxa"/>
          </w:tcPr>
          <w:p>
            <w:pPr>
              <w:pStyle w:val="37"/>
              <w:spacing w:line="48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投标人202</w:t>
            </w:r>
            <w:r>
              <w:rPr>
                <w:rFonts w:ascii="宋体" w:hAnsi="宋体" w:eastAsia="宋体" w:cs="宋体"/>
                <w:color w:val="auto"/>
                <w:sz w:val="24"/>
                <w:szCs w:val="24"/>
                <w:highlight w:val="none"/>
                <w:lang w:eastAsia="zh-CN"/>
              </w:rPr>
              <w:t>1</w:t>
            </w:r>
            <w:r>
              <w:rPr>
                <w:rFonts w:ascii="宋体" w:hAnsi="宋体" w:eastAsia="宋体" w:cs="宋体"/>
                <w:color w:val="auto"/>
                <w:sz w:val="24"/>
                <w:szCs w:val="24"/>
                <w:highlight w:val="none"/>
              </w:rPr>
              <w:t>年1月1日至今（以合同签订日期为准）承担过</w:t>
            </w:r>
            <w:r>
              <w:rPr>
                <w:rFonts w:ascii="宋体" w:hAnsi="宋体" w:eastAsia="宋体" w:cs="宋体"/>
                <w:color w:val="auto"/>
                <w:sz w:val="24"/>
                <w:szCs w:val="24"/>
                <w:highlight w:val="none"/>
                <w:lang w:eastAsia="zh-CN"/>
              </w:rPr>
              <w:t>政府部门委托的</w:t>
            </w:r>
            <w:r>
              <w:rPr>
                <w:rFonts w:ascii="宋体" w:hAnsi="宋体" w:eastAsia="宋体" w:cs="宋体"/>
                <w:color w:val="auto"/>
                <w:sz w:val="24"/>
                <w:szCs w:val="24"/>
                <w:highlight w:val="none"/>
              </w:rPr>
              <w:t>中小企业数字化转型</w:t>
            </w:r>
            <w:r>
              <w:rPr>
                <w:rFonts w:ascii="宋体" w:hAnsi="宋体" w:eastAsia="宋体" w:cs="宋体"/>
                <w:color w:val="auto"/>
                <w:sz w:val="24"/>
                <w:szCs w:val="24"/>
                <w:highlight w:val="none"/>
                <w:lang w:eastAsia="zh-CN"/>
              </w:rPr>
              <w:t>工作</w:t>
            </w:r>
            <w:r>
              <w:rPr>
                <w:rFonts w:ascii="宋体" w:hAnsi="宋体" w:eastAsia="宋体" w:cs="宋体"/>
                <w:color w:val="auto"/>
                <w:sz w:val="24"/>
                <w:szCs w:val="24"/>
                <w:highlight w:val="none"/>
              </w:rPr>
              <w:t>相关</w:t>
            </w:r>
            <w:r>
              <w:rPr>
                <w:rFonts w:ascii="宋体" w:hAnsi="宋体" w:eastAsia="宋体" w:cs="宋体"/>
                <w:color w:val="auto"/>
                <w:sz w:val="24"/>
                <w:szCs w:val="24"/>
                <w:highlight w:val="none"/>
                <w:lang w:eastAsia="zh-CN"/>
              </w:rPr>
              <w:t>的智库咨询、过程支撑、数字化水平评测等相关咨询服务</w:t>
            </w:r>
            <w:r>
              <w:rPr>
                <w:rFonts w:ascii="宋体" w:hAnsi="宋体" w:eastAsia="宋体" w:cs="宋体"/>
                <w:color w:val="auto"/>
                <w:sz w:val="24"/>
                <w:szCs w:val="24"/>
                <w:highlight w:val="none"/>
              </w:rPr>
              <w:t>项目，每1个项目得3分；其他或未提供的不得分。</w:t>
            </w:r>
          </w:p>
          <w:p>
            <w:pPr>
              <w:pStyle w:val="37"/>
              <w:spacing w:line="48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本项最高得分为1</w:t>
            </w:r>
            <w:r>
              <w:rPr>
                <w:rFonts w:ascii="宋体" w:hAnsi="宋体" w:eastAsia="宋体" w:cs="宋体"/>
                <w:color w:val="auto"/>
                <w:sz w:val="24"/>
                <w:szCs w:val="24"/>
                <w:highlight w:val="none"/>
                <w:lang w:eastAsia="zh-CN"/>
              </w:rPr>
              <w:t>8</w:t>
            </w:r>
            <w:r>
              <w:rPr>
                <w:rFonts w:ascii="宋体" w:hAnsi="宋体" w:eastAsia="宋体" w:cs="宋体"/>
                <w:color w:val="auto"/>
                <w:sz w:val="24"/>
                <w:szCs w:val="24"/>
                <w:highlight w:val="none"/>
              </w:rPr>
              <w:t xml:space="preserve">分。 </w:t>
            </w:r>
          </w:p>
          <w:p>
            <w:pPr>
              <w:pStyle w:val="37"/>
              <w:spacing w:line="48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注：</w:t>
            </w:r>
            <w:r>
              <w:rPr>
                <w:rFonts w:ascii="宋体" w:hAnsi="宋体" w:eastAsia="宋体" w:cs="宋体"/>
                <w:color w:val="auto"/>
                <w:sz w:val="24"/>
                <w:szCs w:val="24"/>
                <w:highlight w:val="none"/>
                <w:lang w:eastAsia="zh-CN"/>
              </w:rPr>
              <w:t>①</w:t>
            </w:r>
            <w:r>
              <w:rPr>
                <w:rFonts w:ascii="宋体" w:hAnsi="宋体" w:eastAsia="宋体" w:cs="宋体"/>
                <w:color w:val="auto"/>
                <w:sz w:val="24"/>
                <w:szCs w:val="24"/>
                <w:highlight w:val="none"/>
              </w:rPr>
              <w:t>需在投标文件中提供项目合同关键页（含合同双方单位名称、项目名称、项目内容、签订合同双方的落款盖章、签订日期的关键页）复印件，并加盖投标人单位公章，未提供不得分。</w:t>
            </w:r>
            <w:r>
              <w:rPr>
                <w:rFonts w:ascii="宋体" w:hAnsi="宋体" w:eastAsia="宋体" w:cs="宋体"/>
                <w:color w:val="auto"/>
                <w:sz w:val="24"/>
                <w:szCs w:val="24"/>
                <w:highlight w:val="none"/>
                <w:lang w:eastAsia="zh-CN"/>
              </w:rPr>
              <w:t>②若投标人以联合体形式参加投标的，联合体中的任一方业绩符合的，即可得分。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9" w:type="dxa"/>
            <w:vMerge w:val="continue"/>
          </w:tcPr>
          <w:p>
            <w:pPr>
              <w:spacing w:line="480" w:lineRule="exact"/>
              <w:rPr>
                <w:rFonts w:ascii="宋体" w:hAnsi="宋体" w:cs="宋体"/>
                <w:color w:val="auto"/>
                <w:sz w:val="24"/>
                <w:szCs w:val="24"/>
                <w:highlight w:val="none"/>
              </w:rPr>
            </w:pPr>
          </w:p>
        </w:tc>
        <w:tc>
          <w:tcPr>
            <w:tcW w:w="1204" w:type="dxa"/>
          </w:tcPr>
          <w:p>
            <w:pPr>
              <w:pStyle w:val="37"/>
              <w:spacing w:line="480" w:lineRule="exact"/>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rPr>
              <w:t>投标人相关研究基础及能力</w:t>
            </w:r>
            <w:r>
              <w:rPr>
                <w:rFonts w:ascii="宋体" w:hAnsi="宋体" w:eastAsia="宋体" w:cs="宋体"/>
                <w:color w:val="auto"/>
                <w:sz w:val="24"/>
                <w:szCs w:val="24"/>
                <w:highlight w:val="none"/>
                <w:lang w:eastAsia="zh-CN"/>
              </w:rPr>
              <w:t>（9</w:t>
            </w:r>
            <w:r>
              <w:rPr>
                <w:rFonts w:ascii="宋体" w:hAnsi="宋体" w:eastAsia="宋体" w:cs="宋体"/>
                <w:color w:val="auto"/>
                <w:sz w:val="24"/>
                <w:szCs w:val="24"/>
                <w:highlight w:val="none"/>
              </w:rPr>
              <w:t>.0分</w:t>
            </w:r>
            <w:r>
              <w:rPr>
                <w:rFonts w:ascii="宋体" w:hAnsi="宋体" w:eastAsia="宋体" w:cs="宋体"/>
                <w:color w:val="auto"/>
                <w:sz w:val="24"/>
                <w:szCs w:val="24"/>
                <w:highlight w:val="none"/>
                <w:lang w:eastAsia="zh-CN"/>
              </w:rPr>
              <w:t>）</w:t>
            </w:r>
          </w:p>
        </w:tc>
        <w:tc>
          <w:tcPr>
            <w:tcW w:w="6044" w:type="dxa"/>
          </w:tcPr>
          <w:p>
            <w:pPr>
              <w:pStyle w:val="37"/>
              <w:spacing w:line="48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1.根据投标人202</w:t>
            </w:r>
            <w:r>
              <w:rPr>
                <w:rFonts w:ascii="宋体" w:hAnsi="宋体" w:eastAsia="宋体" w:cs="宋体"/>
                <w:color w:val="auto"/>
                <w:sz w:val="24"/>
                <w:szCs w:val="24"/>
                <w:highlight w:val="none"/>
                <w:lang w:eastAsia="zh-CN"/>
              </w:rPr>
              <w:t>1</w:t>
            </w:r>
            <w:r>
              <w:rPr>
                <w:rFonts w:ascii="宋体" w:hAnsi="宋体" w:eastAsia="宋体" w:cs="宋体"/>
                <w:color w:val="auto"/>
                <w:sz w:val="24"/>
                <w:szCs w:val="24"/>
                <w:highlight w:val="none"/>
              </w:rPr>
              <w:t>年1月1日至今（以研究成果或报告公开发布日期为准）在数字经济、中小企业数字化转型、数据要素、企业数据资产等相关领域的研究基础进行综合评审：每具有一份对外公开发布具有独到见解及研究深度的研究成果或报告（如白皮书、蓝皮书、行业报告等）的得</w:t>
            </w:r>
            <w:r>
              <w:rPr>
                <w:rFonts w:ascii="宋体" w:hAnsi="宋体" w:eastAsia="宋体" w:cs="宋体"/>
                <w:color w:val="auto"/>
                <w:sz w:val="24"/>
                <w:szCs w:val="24"/>
                <w:highlight w:val="none"/>
                <w:lang w:eastAsia="zh-CN"/>
              </w:rPr>
              <w:t>1</w:t>
            </w:r>
            <w:r>
              <w:rPr>
                <w:rFonts w:ascii="宋体" w:hAnsi="宋体" w:eastAsia="宋体" w:cs="宋体"/>
                <w:color w:val="auto"/>
                <w:sz w:val="24"/>
                <w:szCs w:val="24"/>
                <w:highlight w:val="none"/>
              </w:rPr>
              <w:t>分；其他或未提供的不得分</w:t>
            </w:r>
            <w:r>
              <w:rPr>
                <w:rFonts w:ascii="宋体" w:hAnsi="宋体" w:eastAsia="宋体" w:cs="宋体"/>
                <w:color w:val="auto"/>
                <w:sz w:val="24"/>
                <w:szCs w:val="24"/>
                <w:highlight w:val="none"/>
                <w:lang w:eastAsia="zh-CN"/>
              </w:rPr>
              <w:t>，本小项</w:t>
            </w:r>
            <w:r>
              <w:rPr>
                <w:rFonts w:ascii="宋体" w:hAnsi="宋体" w:eastAsia="宋体" w:cs="宋体"/>
                <w:color w:val="auto"/>
                <w:sz w:val="24"/>
                <w:szCs w:val="24"/>
                <w:highlight w:val="none"/>
              </w:rPr>
              <w:t>最高得</w:t>
            </w:r>
            <w:r>
              <w:rPr>
                <w:rFonts w:ascii="宋体" w:hAnsi="宋体" w:eastAsia="宋体" w:cs="宋体"/>
                <w:color w:val="auto"/>
                <w:sz w:val="24"/>
                <w:szCs w:val="24"/>
                <w:highlight w:val="none"/>
                <w:lang w:eastAsia="zh-CN"/>
              </w:rPr>
              <w:t>5</w:t>
            </w:r>
            <w:r>
              <w:rPr>
                <w:rFonts w:ascii="宋体" w:hAnsi="宋体" w:eastAsia="宋体" w:cs="宋体"/>
                <w:color w:val="auto"/>
                <w:sz w:val="24"/>
                <w:szCs w:val="24"/>
                <w:highlight w:val="none"/>
              </w:rPr>
              <w:t>分。</w:t>
            </w:r>
          </w:p>
          <w:p>
            <w:pPr>
              <w:pStyle w:val="37"/>
              <w:spacing w:line="48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2.投标人参与制定智能制造、数字化转型领域国家标准规范，每提供一项得1分，</w:t>
            </w:r>
            <w:r>
              <w:rPr>
                <w:rFonts w:ascii="宋体" w:hAnsi="宋体" w:eastAsia="宋体" w:cs="宋体"/>
                <w:color w:val="auto"/>
                <w:sz w:val="24"/>
                <w:szCs w:val="24"/>
                <w:highlight w:val="none"/>
                <w:lang w:eastAsia="zh-CN"/>
              </w:rPr>
              <w:t>其他或未提供的不得分；本小项</w:t>
            </w:r>
            <w:r>
              <w:rPr>
                <w:rFonts w:ascii="宋体" w:hAnsi="宋体" w:eastAsia="宋体" w:cs="宋体"/>
                <w:color w:val="auto"/>
                <w:sz w:val="24"/>
                <w:szCs w:val="24"/>
                <w:highlight w:val="none"/>
              </w:rPr>
              <w:t>最高得</w:t>
            </w:r>
            <w:r>
              <w:rPr>
                <w:rFonts w:ascii="宋体" w:hAnsi="宋体" w:eastAsia="宋体" w:cs="宋体"/>
                <w:color w:val="auto"/>
                <w:sz w:val="24"/>
                <w:szCs w:val="24"/>
                <w:highlight w:val="none"/>
                <w:lang w:eastAsia="zh-CN"/>
              </w:rPr>
              <w:t>4</w:t>
            </w:r>
            <w:r>
              <w:rPr>
                <w:rFonts w:ascii="宋体" w:hAnsi="宋体" w:eastAsia="宋体" w:cs="宋体"/>
                <w:color w:val="auto"/>
                <w:sz w:val="24"/>
                <w:szCs w:val="24"/>
                <w:highlight w:val="none"/>
              </w:rPr>
              <w:t>分。</w:t>
            </w:r>
          </w:p>
          <w:p>
            <w:pPr>
              <w:pStyle w:val="37"/>
              <w:spacing w:line="480" w:lineRule="exact"/>
              <w:rPr>
                <w:rFonts w:hint="default" w:ascii="宋体" w:hAnsi="宋体" w:cs="宋体"/>
                <w:color w:val="auto"/>
                <w:sz w:val="24"/>
                <w:szCs w:val="24"/>
                <w:highlight w:val="none"/>
                <w:lang w:eastAsia="zh-CN"/>
              </w:rPr>
            </w:pPr>
            <w:r>
              <w:rPr>
                <w:rFonts w:ascii="宋体" w:hAnsi="宋体" w:eastAsia="宋体" w:cs="宋体"/>
                <w:color w:val="auto"/>
                <w:sz w:val="24"/>
                <w:szCs w:val="24"/>
                <w:highlight w:val="none"/>
                <w:lang w:eastAsia="zh-CN"/>
              </w:rPr>
              <w:t>3.</w:t>
            </w:r>
            <w:r>
              <w:rPr>
                <w:rFonts w:ascii="宋体" w:hAnsi="宋体" w:cs="宋体"/>
                <w:color w:val="auto"/>
                <w:kern w:val="2"/>
                <w:sz w:val="24"/>
                <w:szCs w:val="24"/>
                <w:highlight w:val="none"/>
              </w:rPr>
              <w:t>本项最高得分为</w:t>
            </w:r>
            <w:r>
              <w:rPr>
                <w:rFonts w:ascii="宋体" w:hAnsi="宋体" w:cs="宋体"/>
                <w:color w:val="auto"/>
                <w:kern w:val="2"/>
                <w:sz w:val="24"/>
                <w:szCs w:val="24"/>
                <w:highlight w:val="none"/>
                <w:lang w:eastAsia="zh-CN"/>
              </w:rPr>
              <w:t>9分。</w:t>
            </w:r>
          </w:p>
          <w:p>
            <w:pPr>
              <w:pStyle w:val="37"/>
              <w:spacing w:line="480" w:lineRule="exact"/>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rPr>
              <w:t>注：</w:t>
            </w:r>
            <w:r>
              <w:rPr>
                <w:rFonts w:ascii="宋体" w:hAnsi="宋体" w:eastAsia="宋体" w:cs="宋体"/>
                <w:color w:val="auto"/>
                <w:sz w:val="24"/>
                <w:szCs w:val="24"/>
                <w:highlight w:val="none"/>
                <w:lang w:eastAsia="zh-CN"/>
              </w:rPr>
              <w:t>①</w:t>
            </w:r>
            <w:r>
              <w:rPr>
                <w:rFonts w:ascii="宋体" w:hAnsi="宋体" w:eastAsia="宋体" w:cs="宋体"/>
                <w:color w:val="auto"/>
                <w:sz w:val="24"/>
                <w:szCs w:val="24"/>
                <w:highlight w:val="none"/>
              </w:rPr>
              <w:t>需在投标文件中提供相关研究成果或报告复印件</w:t>
            </w:r>
            <w:r>
              <w:rPr>
                <w:rFonts w:ascii="宋体" w:hAnsi="宋体" w:eastAsia="宋体" w:cs="宋体"/>
                <w:color w:val="auto"/>
                <w:sz w:val="24"/>
                <w:szCs w:val="24"/>
                <w:highlight w:val="none"/>
                <w:lang w:eastAsia="zh-CN"/>
              </w:rPr>
              <w:t>等证明材料</w:t>
            </w:r>
            <w:r>
              <w:rPr>
                <w:rFonts w:ascii="宋体" w:hAnsi="宋体" w:eastAsia="宋体" w:cs="宋体"/>
                <w:color w:val="auto"/>
                <w:sz w:val="24"/>
                <w:szCs w:val="24"/>
                <w:highlight w:val="none"/>
              </w:rPr>
              <w:t>，并加盖投标人单位公章，未提供不得分。</w:t>
            </w:r>
            <w:r>
              <w:rPr>
                <w:rFonts w:ascii="宋体" w:hAnsi="宋体" w:eastAsia="宋体" w:cs="宋体"/>
                <w:color w:val="auto"/>
                <w:sz w:val="24"/>
                <w:szCs w:val="24"/>
                <w:highlight w:val="none"/>
                <w:lang w:eastAsia="zh-CN"/>
              </w:rPr>
              <w:t>②</w:t>
            </w:r>
            <w:r>
              <w:rPr>
                <w:rFonts w:ascii="宋体" w:hAnsi="宋体" w:eastAsia="宋体" w:cs="宋体"/>
                <w:color w:val="auto"/>
                <w:sz w:val="24"/>
                <w:szCs w:val="24"/>
                <w:highlight w:val="none"/>
              </w:rPr>
              <w:t>若投标人以联合体形式参加投标的，联合体中的任一方符合的，即可得分。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1249" w:type="dxa"/>
            <w:vMerge w:val="continue"/>
          </w:tcPr>
          <w:p>
            <w:pPr>
              <w:spacing w:line="480" w:lineRule="exact"/>
              <w:rPr>
                <w:rFonts w:ascii="宋体" w:hAnsi="宋体" w:cs="宋体"/>
                <w:color w:val="auto"/>
                <w:sz w:val="24"/>
                <w:szCs w:val="24"/>
                <w:highlight w:val="none"/>
              </w:rPr>
            </w:pPr>
          </w:p>
        </w:tc>
        <w:tc>
          <w:tcPr>
            <w:tcW w:w="1204" w:type="dxa"/>
          </w:tcPr>
          <w:p>
            <w:pPr>
              <w:pStyle w:val="37"/>
              <w:spacing w:line="480" w:lineRule="exact"/>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rPr>
              <w:t>项目负责人（仅限1人）资质情况</w:t>
            </w:r>
            <w:r>
              <w:rPr>
                <w:rFonts w:ascii="宋体" w:hAnsi="宋体" w:eastAsia="宋体" w:cs="宋体"/>
                <w:color w:val="auto"/>
                <w:sz w:val="24"/>
                <w:szCs w:val="24"/>
                <w:highlight w:val="none"/>
                <w:lang w:eastAsia="zh-CN"/>
              </w:rPr>
              <w:t>（10</w:t>
            </w:r>
            <w:r>
              <w:rPr>
                <w:rFonts w:ascii="宋体" w:hAnsi="宋体" w:eastAsia="宋体" w:cs="宋体"/>
                <w:color w:val="auto"/>
                <w:sz w:val="24"/>
                <w:szCs w:val="24"/>
                <w:highlight w:val="none"/>
              </w:rPr>
              <w:t>.0分</w:t>
            </w:r>
            <w:r>
              <w:rPr>
                <w:rFonts w:ascii="宋体" w:hAnsi="宋体" w:eastAsia="宋体" w:cs="宋体"/>
                <w:color w:val="auto"/>
                <w:sz w:val="24"/>
                <w:szCs w:val="24"/>
                <w:highlight w:val="none"/>
                <w:lang w:eastAsia="zh-CN"/>
              </w:rPr>
              <w:t>）</w:t>
            </w:r>
          </w:p>
        </w:tc>
        <w:tc>
          <w:tcPr>
            <w:tcW w:w="6044" w:type="dxa"/>
          </w:tcPr>
          <w:p>
            <w:pPr>
              <w:pStyle w:val="37"/>
              <w:spacing w:line="48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根据投标人拟投入的项目负责人（仅限1人）资质情况进行评审。 投标人拟投入的项目负责人具备信息与通信技术、通信工程、计算机、软件工程等数字化相关专业的正高级工程师或教授级工程师技术职称的，得</w:t>
            </w:r>
            <w:r>
              <w:rPr>
                <w:rFonts w:ascii="宋体" w:hAnsi="宋体" w:eastAsia="宋体" w:cs="宋体"/>
                <w:color w:val="auto"/>
                <w:sz w:val="24"/>
                <w:szCs w:val="24"/>
                <w:highlight w:val="none"/>
                <w:lang w:eastAsia="zh-CN"/>
              </w:rPr>
              <w:t>10</w:t>
            </w:r>
            <w:r>
              <w:rPr>
                <w:rFonts w:ascii="宋体" w:hAnsi="宋体" w:eastAsia="宋体" w:cs="宋体"/>
                <w:color w:val="auto"/>
                <w:sz w:val="24"/>
                <w:szCs w:val="24"/>
                <w:highlight w:val="none"/>
              </w:rPr>
              <w:t>分；具备信息与通信工程、计算机、软件工程等数字化相关专业的高级工程师技术职称的，得</w:t>
            </w:r>
            <w:r>
              <w:rPr>
                <w:rFonts w:ascii="宋体" w:hAnsi="宋体" w:eastAsia="宋体" w:cs="宋体"/>
                <w:color w:val="auto"/>
                <w:sz w:val="24"/>
                <w:szCs w:val="24"/>
                <w:highlight w:val="none"/>
                <w:lang w:eastAsia="zh-CN"/>
              </w:rPr>
              <w:t>4</w:t>
            </w:r>
            <w:r>
              <w:rPr>
                <w:rFonts w:ascii="宋体" w:hAnsi="宋体" w:eastAsia="宋体" w:cs="宋体"/>
                <w:color w:val="auto"/>
                <w:sz w:val="24"/>
                <w:szCs w:val="24"/>
                <w:highlight w:val="none"/>
              </w:rPr>
              <w:t>分；其他或未提供</w:t>
            </w:r>
            <w:r>
              <w:rPr>
                <w:rFonts w:ascii="宋体" w:hAnsi="宋体" w:eastAsia="宋体" w:cs="宋体"/>
                <w:color w:val="auto"/>
                <w:sz w:val="24"/>
                <w:szCs w:val="24"/>
                <w:highlight w:val="none"/>
                <w:lang w:eastAsia="zh-CN"/>
              </w:rPr>
              <w:t>的</w:t>
            </w:r>
            <w:r>
              <w:rPr>
                <w:rFonts w:ascii="宋体" w:hAnsi="宋体" w:eastAsia="宋体" w:cs="宋体"/>
                <w:color w:val="auto"/>
                <w:sz w:val="24"/>
                <w:szCs w:val="24"/>
                <w:highlight w:val="none"/>
              </w:rPr>
              <w:t>不得分。本项最高得分为</w:t>
            </w:r>
            <w:r>
              <w:rPr>
                <w:rFonts w:ascii="宋体" w:hAnsi="宋体" w:eastAsia="宋体" w:cs="宋体"/>
                <w:color w:val="auto"/>
                <w:sz w:val="24"/>
                <w:szCs w:val="24"/>
                <w:highlight w:val="none"/>
                <w:lang w:eastAsia="zh-CN"/>
              </w:rPr>
              <w:t>10</w:t>
            </w:r>
            <w:r>
              <w:rPr>
                <w:rFonts w:ascii="宋体" w:hAnsi="宋体" w:eastAsia="宋体" w:cs="宋体"/>
                <w:color w:val="auto"/>
                <w:sz w:val="24"/>
                <w:szCs w:val="24"/>
                <w:highlight w:val="none"/>
              </w:rPr>
              <w:t xml:space="preserve">分。若一人具备多个技术职称的，按得分较高的技术职称评审，不重复计分。 </w:t>
            </w:r>
          </w:p>
          <w:p>
            <w:pPr>
              <w:pStyle w:val="37"/>
              <w:spacing w:line="480" w:lineRule="exact"/>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rPr>
              <w:t>注：</w:t>
            </w:r>
            <w:r>
              <w:rPr>
                <w:rFonts w:ascii="宋体" w:hAnsi="宋体" w:eastAsia="宋体" w:cs="宋体"/>
                <w:color w:val="auto"/>
                <w:sz w:val="24"/>
                <w:szCs w:val="24"/>
                <w:highlight w:val="none"/>
                <w:lang w:eastAsia="zh-CN"/>
              </w:rPr>
              <w:t>①</w:t>
            </w:r>
            <w:r>
              <w:rPr>
                <w:rFonts w:ascii="宋体" w:hAnsi="宋体" w:eastAsia="宋体" w:cs="宋体"/>
                <w:color w:val="auto"/>
                <w:sz w:val="24"/>
                <w:szCs w:val="24"/>
                <w:highlight w:val="none"/>
              </w:rPr>
              <w:t>需在投标文件中提供上述人员的相应证书、与投标人签订的有效的劳动合同（或投标人为其缴纳的202</w:t>
            </w:r>
            <w:r>
              <w:rPr>
                <w:rFonts w:ascii="宋体" w:hAnsi="宋体" w:eastAsia="宋体" w:cs="宋体"/>
                <w:color w:val="auto"/>
                <w:sz w:val="24"/>
                <w:szCs w:val="24"/>
                <w:highlight w:val="none"/>
                <w:lang w:eastAsia="zh-CN"/>
              </w:rPr>
              <w:t>5</w:t>
            </w:r>
            <w:r>
              <w:rPr>
                <w:rFonts w:ascii="宋体" w:hAnsi="宋体" w:eastAsia="宋体" w:cs="宋体"/>
                <w:color w:val="auto"/>
                <w:sz w:val="24"/>
                <w:szCs w:val="24"/>
                <w:highlight w:val="none"/>
              </w:rPr>
              <w:t>年</w:t>
            </w:r>
            <w:r>
              <w:rPr>
                <w:rFonts w:ascii="宋体" w:hAnsi="宋体" w:eastAsia="宋体" w:cs="宋体"/>
                <w:color w:val="auto"/>
                <w:sz w:val="24"/>
                <w:szCs w:val="24"/>
                <w:highlight w:val="none"/>
                <w:lang w:eastAsia="zh-CN"/>
              </w:rPr>
              <w:t>6</w:t>
            </w:r>
            <w:r>
              <w:rPr>
                <w:rFonts w:ascii="宋体" w:hAnsi="宋体" w:eastAsia="宋体" w:cs="宋体"/>
                <w:color w:val="auto"/>
                <w:sz w:val="24"/>
                <w:szCs w:val="24"/>
                <w:highlight w:val="none"/>
              </w:rPr>
              <w:t>月以来任意一个月的社保证明）复印件，并加盖投标人单位公章，未提供不得分。</w:t>
            </w:r>
            <w:r>
              <w:rPr>
                <w:rFonts w:ascii="宋体" w:hAnsi="宋体" w:eastAsia="宋体" w:cs="宋体"/>
                <w:color w:val="auto"/>
                <w:sz w:val="24"/>
                <w:szCs w:val="24"/>
                <w:highlight w:val="none"/>
                <w:lang w:eastAsia="zh-CN"/>
              </w:rPr>
              <w:t>②若投标人以联合体形式参加投标的，联合体中的牵头单位人员符合的，方可得分。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9" w:type="dxa"/>
            <w:vMerge w:val="continue"/>
          </w:tcPr>
          <w:p>
            <w:pPr>
              <w:spacing w:line="480" w:lineRule="exact"/>
              <w:rPr>
                <w:rFonts w:ascii="宋体" w:hAnsi="宋体" w:cs="宋体"/>
                <w:color w:val="auto"/>
                <w:sz w:val="24"/>
                <w:szCs w:val="24"/>
                <w:highlight w:val="none"/>
              </w:rPr>
            </w:pPr>
          </w:p>
        </w:tc>
        <w:tc>
          <w:tcPr>
            <w:tcW w:w="1204" w:type="dxa"/>
          </w:tcPr>
          <w:p>
            <w:pPr>
              <w:pStyle w:val="37"/>
              <w:spacing w:line="480" w:lineRule="exact"/>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rPr>
              <w:t>项目成员资质情况</w:t>
            </w:r>
            <w:r>
              <w:rPr>
                <w:rFonts w:ascii="宋体" w:hAnsi="宋体" w:eastAsia="宋体" w:cs="宋体"/>
                <w:color w:val="auto"/>
                <w:sz w:val="24"/>
                <w:szCs w:val="24"/>
                <w:highlight w:val="none"/>
                <w:lang w:eastAsia="zh-CN"/>
              </w:rPr>
              <w:t>（18</w:t>
            </w:r>
            <w:r>
              <w:rPr>
                <w:rFonts w:ascii="宋体" w:hAnsi="宋体" w:eastAsia="宋体" w:cs="宋体"/>
                <w:color w:val="auto"/>
                <w:sz w:val="24"/>
                <w:szCs w:val="24"/>
                <w:highlight w:val="none"/>
              </w:rPr>
              <w:t>.0分</w:t>
            </w:r>
            <w:r>
              <w:rPr>
                <w:rFonts w:ascii="宋体" w:hAnsi="宋体" w:eastAsia="宋体" w:cs="宋体"/>
                <w:color w:val="auto"/>
                <w:sz w:val="24"/>
                <w:szCs w:val="24"/>
                <w:highlight w:val="none"/>
                <w:lang w:eastAsia="zh-CN"/>
              </w:rPr>
              <w:t>）</w:t>
            </w:r>
          </w:p>
        </w:tc>
        <w:tc>
          <w:tcPr>
            <w:tcW w:w="6044" w:type="dxa"/>
          </w:tcPr>
          <w:p>
            <w:pPr>
              <w:pStyle w:val="37"/>
              <w:spacing w:line="480" w:lineRule="exact"/>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rPr>
              <w:t>根据投标人拟投入的项目成员资质情况（项目负责人除外，下同）情况进行评审。项目团队成员满足不少于</w:t>
            </w:r>
            <w:r>
              <w:rPr>
                <w:rFonts w:ascii="宋体" w:hAnsi="宋体" w:eastAsia="宋体" w:cs="宋体"/>
                <w:color w:val="auto"/>
                <w:sz w:val="24"/>
                <w:szCs w:val="24"/>
                <w:highlight w:val="none"/>
                <w:lang w:eastAsia="zh-CN"/>
              </w:rPr>
              <w:t>19</w:t>
            </w:r>
            <w:r>
              <w:rPr>
                <w:rFonts w:ascii="宋体" w:hAnsi="宋体" w:eastAsia="宋体" w:cs="宋体"/>
                <w:color w:val="auto"/>
                <w:sz w:val="24"/>
                <w:szCs w:val="24"/>
                <w:highlight w:val="none"/>
              </w:rPr>
              <w:t>人，且具有不少于</w:t>
            </w:r>
            <w:r>
              <w:rPr>
                <w:rFonts w:ascii="宋体" w:hAnsi="宋体" w:eastAsia="宋体" w:cs="宋体"/>
                <w:color w:val="auto"/>
                <w:sz w:val="24"/>
                <w:szCs w:val="24"/>
                <w:highlight w:val="none"/>
                <w:lang w:eastAsia="zh-CN"/>
              </w:rPr>
              <w:t>15</w:t>
            </w:r>
            <w:r>
              <w:rPr>
                <w:rFonts w:ascii="宋体" w:hAnsi="宋体" w:eastAsia="宋体" w:cs="宋体"/>
                <w:color w:val="auto"/>
                <w:sz w:val="24"/>
                <w:szCs w:val="24"/>
                <w:highlight w:val="none"/>
              </w:rPr>
              <w:t>名硕士研究生及以上学历的前提条件下，按以下要求评分，否则以下评分项不得分</w:t>
            </w:r>
            <w:r>
              <w:rPr>
                <w:rFonts w:ascii="宋体" w:hAnsi="宋体" w:eastAsia="宋体" w:cs="宋体"/>
                <w:color w:val="auto"/>
                <w:sz w:val="24"/>
                <w:szCs w:val="24"/>
                <w:highlight w:val="none"/>
                <w:lang w:eastAsia="zh-CN"/>
              </w:rPr>
              <w:t>：（若投标人以联合体形式参加投标的，联合体中所有方提供的人员数量可累计）</w:t>
            </w:r>
          </w:p>
          <w:p>
            <w:pPr>
              <w:pStyle w:val="37"/>
              <w:spacing w:line="480" w:lineRule="exact"/>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w:t>
            </w:r>
            <w:r>
              <w:rPr>
                <w:rFonts w:ascii="宋体" w:hAnsi="宋体" w:eastAsia="宋体" w:cs="宋体"/>
                <w:color w:val="auto"/>
                <w:sz w:val="24"/>
                <w:szCs w:val="24"/>
                <w:highlight w:val="none"/>
              </w:rPr>
              <w:t>项目团队成员中具备数字化相关专业的高级专业技术人员职业资格（或高级工程师技术职称）证书的，每人得</w:t>
            </w:r>
            <w:r>
              <w:rPr>
                <w:rFonts w:ascii="宋体" w:hAnsi="宋体" w:eastAsia="宋体" w:cs="宋体"/>
                <w:color w:val="auto"/>
                <w:sz w:val="24"/>
                <w:szCs w:val="24"/>
                <w:highlight w:val="none"/>
                <w:lang w:eastAsia="zh-CN"/>
              </w:rPr>
              <w:t>2</w:t>
            </w:r>
            <w:r>
              <w:rPr>
                <w:rFonts w:ascii="宋体" w:hAnsi="宋体" w:eastAsia="宋体" w:cs="宋体"/>
                <w:color w:val="auto"/>
                <w:sz w:val="24"/>
                <w:szCs w:val="24"/>
                <w:highlight w:val="none"/>
              </w:rPr>
              <w:t>分，</w:t>
            </w:r>
            <w:r>
              <w:rPr>
                <w:rFonts w:ascii="宋体" w:hAnsi="宋体" w:eastAsia="宋体" w:cs="宋体"/>
                <w:color w:val="auto"/>
                <w:sz w:val="24"/>
                <w:szCs w:val="24"/>
                <w:highlight w:val="none"/>
                <w:lang w:eastAsia="zh-CN"/>
              </w:rPr>
              <w:t>本小项</w:t>
            </w:r>
            <w:r>
              <w:rPr>
                <w:rFonts w:ascii="宋体" w:hAnsi="宋体" w:eastAsia="宋体" w:cs="宋体"/>
                <w:color w:val="auto"/>
                <w:sz w:val="24"/>
                <w:szCs w:val="24"/>
                <w:highlight w:val="none"/>
              </w:rPr>
              <w:t>最高得</w:t>
            </w:r>
            <w:r>
              <w:rPr>
                <w:rFonts w:ascii="宋体" w:hAnsi="宋体" w:eastAsia="宋体" w:cs="宋体"/>
                <w:color w:val="auto"/>
                <w:sz w:val="24"/>
                <w:szCs w:val="24"/>
                <w:highlight w:val="none"/>
                <w:lang w:eastAsia="zh-CN"/>
              </w:rPr>
              <w:t>18</w:t>
            </w:r>
            <w:r>
              <w:rPr>
                <w:rFonts w:ascii="宋体" w:hAnsi="宋体" w:eastAsia="宋体" w:cs="宋体"/>
                <w:color w:val="auto"/>
                <w:sz w:val="24"/>
                <w:szCs w:val="24"/>
                <w:highlight w:val="none"/>
              </w:rPr>
              <w:t>分</w:t>
            </w:r>
            <w:r>
              <w:rPr>
                <w:rFonts w:ascii="宋体" w:hAnsi="宋体" w:eastAsia="宋体" w:cs="宋体"/>
                <w:color w:val="auto"/>
                <w:sz w:val="24"/>
                <w:szCs w:val="24"/>
                <w:highlight w:val="none"/>
                <w:lang w:eastAsia="zh-CN"/>
              </w:rPr>
              <w:t>。</w:t>
            </w:r>
          </w:p>
          <w:p>
            <w:pPr>
              <w:pStyle w:val="37"/>
              <w:spacing w:line="48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lang w:eastAsia="zh-CN"/>
              </w:rPr>
              <w:t>2.</w:t>
            </w:r>
            <w:r>
              <w:rPr>
                <w:rFonts w:ascii="宋体" w:hAnsi="宋体" w:eastAsia="宋体" w:cs="宋体"/>
                <w:color w:val="auto"/>
                <w:sz w:val="24"/>
                <w:szCs w:val="24"/>
                <w:highlight w:val="none"/>
              </w:rPr>
              <w:t>项目团队成员中具备数字化相关专业的中级专业技术人员职业资格（或中级工程师技术职称）证书的，每人得1分，</w:t>
            </w:r>
            <w:r>
              <w:rPr>
                <w:rFonts w:ascii="宋体" w:hAnsi="宋体" w:eastAsia="宋体" w:cs="宋体"/>
                <w:color w:val="auto"/>
                <w:sz w:val="24"/>
                <w:szCs w:val="24"/>
                <w:highlight w:val="none"/>
                <w:lang w:eastAsia="zh-CN"/>
              </w:rPr>
              <w:t>本小项</w:t>
            </w:r>
            <w:r>
              <w:rPr>
                <w:rFonts w:ascii="宋体" w:hAnsi="宋体" w:eastAsia="宋体" w:cs="宋体"/>
                <w:color w:val="auto"/>
                <w:sz w:val="24"/>
                <w:szCs w:val="24"/>
                <w:highlight w:val="none"/>
              </w:rPr>
              <w:t>最高得</w:t>
            </w:r>
            <w:r>
              <w:rPr>
                <w:rFonts w:hint="default" w:ascii="宋体" w:hAnsi="宋体" w:eastAsia="宋体" w:cs="宋体"/>
                <w:color w:val="auto"/>
                <w:sz w:val="24"/>
                <w:szCs w:val="24"/>
                <w:highlight w:val="none"/>
              </w:rPr>
              <w:t>5</w:t>
            </w:r>
            <w:r>
              <w:rPr>
                <w:rFonts w:ascii="宋体" w:hAnsi="宋体" w:eastAsia="宋体" w:cs="宋体"/>
                <w:color w:val="auto"/>
                <w:sz w:val="24"/>
                <w:szCs w:val="24"/>
                <w:highlight w:val="none"/>
              </w:rPr>
              <w:t>分。</w:t>
            </w:r>
          </w:p>
          <w:p>
            <w:pPr>
              <w:pStyle w:val="37"/>
              <w:spacing w:line="48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lang w:eastAsia="zh-CN"/>
              </w:rPr>
              <w:t>3.</w:t>
            </w:r>
            <w:r>
              <w:rPr>
                <w:rFonts w:ascii="宋体" w:hAnsi="宋体" w:eastAsia="宋体" w:cs="宋体"/>
                <w:color w:val="auto"/>
                <w:sz w:val="24"/>
                <w:szCs w:val="24"/>
                <w:highlight w:val="none"/>
              </w:rPr>
              <w:t>其他或未提供</w:t>
            </w:r>
            <w:r>
              <w:rPr>
                <w:rFonts w:ascii="宋体" w:hAnsi="宋体" w:eastAsia="宋体" w:cs="宋体"/>
                <w:color w:val="auto"/>
                <w:sz w:val="24"/>
                <w:szCs w:val="24"/>
                <w:highlight w:val="none"/>
                <w:lang w:eastAsia="zh-CN"/>
              </w:rPr>
              <w:t>的</w:t>
            </w:r>
            <w:r>
              <w:rPr>
                <w:rFonts w:ascii="宋体" w:hAnsi="宋体" w:eastAsia="宋体" w:cs="宋体"/>
                <w:color w:val="auto"/>
                <w:sz w:val="24"/>
                <w:szCs w:val="24"/>
                <w:highlight w:val="none"/>
              </w:rPr>
              <w:t>不得分。</w:t>
            </w:r>
          </w:p>
          <w:p>
            <w:pPr>
              <w:pStyle w:val="37"/>
              <w:spacing w:line="48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lang w:eastAsia="zh-CN"/>
              </w:rPr>
              <w:t>4.</w:t>
            </w:r>
            <w:r>
              <w:rPr>
                <w:rFonts w:ascii="宋体" w:hAnsi="宋体" w:eastAsia="宋体" w:cs="宋体"/>
                <w:color w:val="auto"/>
                <w:sz w:val="24"/>
                <w:szCs w:val="24"/>
                <w:highlight w:val="none"/>
              </w:rPr>
              <w:t>本项最高得分为</w:t>
            </w:r>
            <w:r>
              <w:rPr>
                <w:rFonts w:hint="default" w:ascii="宋体" w:hAnsi="宋体" w:eastAsia="宋体" w:cs="宋体"/>
                <w:color w:val="auto"/>
                <w:sz w:val="24"/>
                <w:szCs w:val="24"/>
                <w:highlight w:val="none"/>
              </w:rPr>
              <w:t>1</w:t>
            </w:r>
            <w:r>
              <w:rPr>
                <w:rFonts w:hint="default" w:ascii="宋体" w:hAnsi="宋体" w:eastAsia="宋体" w:cs="宋体"/>
                <w:color w:val="auto"/>
                <w:sz w:val="24"/>
                <w:szCs w:val="24"/>
                <w:highlight w:val="none"/>
                <w:lang w:eastAsia="zh-CN"/>
              </w:rPr>
              <w:t>8</w:t>
            </w:r>
            <w:r>
              <w:rPr>
                <w:rFonts w:ascii="宋体" w:hAnsi="宋体" w:eastAsia="宋体" w:cs="宋体"/>
                <w:color w:val="auto"/>
                <w:sz w:val="24"/>
                <w:szCs w:val="24"/>
                <w:highlight w:val="none"/>
              </w:rPr>
              <w:t xml:space="preserve">分。若一人符合上述多项要求的，按得分较高的一项评审，不重复计分。 </w:t>
            </w:r>
          </w:p>
          <w:p>
            <w:pPr>
              <w:pStyle w:val="37"/>
              <w:spacing w:line="480" w:lineRule="exact"/>
              <w:ind w:left="1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注：①需在投标文件中提供上述人员的相应证书、与投标人签订的有效的劳动合同（或投标人为其缴纳的202</w:t>
            </w:r>
            <w:r>
              <w:rPr>
                <w:rFonts w:ascii="宋体" w:hAnsi="宋体" w:eastAsia="宋体" w:cs="宋体"/>
                <w:color w:val="auto"/>
                <w:sz w:val="24"/>
                <w:szCs w:val="24"/>
                <w:highlight w:val="none"/>
                <w:lang w:eastAsia="zh-CN"/>
              </w:rPr>
              <w:t>5</w:t>
            </w:r>
            <w:r>
              <w:rPr>
                <w:rFonts w:ascii="宋体" w:hAnsi="宋体" w:eastAsia="宋体" w:cs="宋体"/>
                <w:color w:val="auto"/>
                <w:sz w:val="24"/>
                <w:szCs w:val="24"/>
                <w:highlight w:val="none"/>
              </w:rPr>
              <w:t>年</w:t>
            </w:r>
            <w:r>
              <w:rPr>
                <w:rFonts w:ascii="宋体" w:hAnsi="宋体" w:eastAsia="宋体" w:cs="宋体"/>
                <w:color w:val="auto"/>
                <w:sz w:val="24"/>
                <w:szCs w:val="24"/>
                <w:highlight w:val="none"/>
                <w:lang w:eastAsia="zh-CN"/>
              </w:rPr>
              <w:t>6</w:t>
            </w:r>
            <w:r>
              <w:rPr>
                <w:rFonts w:ascii="宋体" w:hAnsi="宋体" w:eastAsia="宋体" w:cs="宋体"/>
                <w:color w:val="auto"/>
                <w:sz w:val="24"/>
                <w:szCs w:val="24"/>
                <w:highlight w:val="none"/>
              </w:rPr>
              <w:t>月以来任意一个月的社保证明）复印件，并加盖投标人单位公章，未提供不得分。②上述职业资格证书或技术职称证书，证书专业需与项目服务内容相关，包括但不限于信息与通信技术、通信工程、软件工程、信息系统项目管理、系统规划与管理、系统集成项目管理等数字化相关专业。</w:t>
            </w:r>
            <w:r>
              <w:rPr>
                <w:rFonts w:ascii="宋体" w:hAnsi="宋体" w:eastAsia="宋体" w:cs="宋体"/>
                <w:color w:val="auto"/>
                <w:sz w:val="24"/>
                <w:szCs w:val="24"/>
                <w:highlight w:val="none"/>
                <w:lang w:eastAsia="zh-CN"/>
              </w:rPr>
              <w:t>②若投标人以联合体形式参加投标的，联合体中的任一方人员符合的，即可得分。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49" w:type="dxa"/>
          </w:tcPr>
          <w:p>
            <w:pPr>
              <w:pStyle w:val="37"/>
              <w:spacing w:line="480" w:lineRule="exact"/>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投标报价</w:t>
            </w:r>
          </w:p>
        </w:tc>
        <w:tc>
          <w:tcPr>
            <w:tcW w:w="1204" w:type="dxa"/>
          </w:tcPr>
          <w:p>
            <w:pPr>
              <w:pStyle w:val="37"/>
              <w:spacing w:line="480" w:lineRule="exact"/>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rPr>
              <w:t>投标报价得分</w:t>
            </w:r>
            <w:r>
              <w:rPr>
                <w:rFonts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10.0分</w:t>
            </w:r>
            <w:r>
              <w:rPr>
                <w:rFonts w:ascii="宋体" w:hAnsi="宋体" w:eastAsia="宋体" w:cs="宋体"/>
                <w:color w:val="auto"/>
                <w:sz w:val="24"/>
                <w:szCs w:val="24"/>
                <w:highlight w:val="none"/>
                <w:lang w:eastAsia="zh-CN"/>
              </w:rPr>
              <w:t>）</w:t>
            </w:r>
          </w:p>
        </w:tc>
        <w:tc>
          <w:tcPr>
            <w:tcW w:w="6044" w:type="dxa"/>
          </w:tcPr>
          <w:p>
            <w:pPr>
              <w:pStyle w:val="37"/>
              <w:spacing w:line="48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7"/>
        <w:tabs>
          <w:tab w:val="left" w:pos="945"/>
          <w:tab w:val="left" w:pos="1050"/>
        </w:tabs>
        <w:spacing w:line="480" w:lineRule="exact"/>
        <w:rPr>
          <w:rFonts w:hAnsi="宋体"/>
          <w:b/>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3"/>
      <w:suff w:val="nothing"/>
      <w:lvlText w:val="%1.%2　"/>
      <w:lvlJc w:val="left"/>
      <w:pPr>
        <w:ind w:left="0" w:firstLine="0"/>
      </w:pPr>
      <w:rPr>
        <w:rFonts w:hint="eastAsia" w:ascii="黑体" w:hAnsi="Times New Roman" w:eastAsia="黑体" w:cs="Times New Roman"/>
        <w:b w:val="0"/>
        <w:bCs w:val="0"/>
        <w:i w:val="0"/>
        <w:iCs w:val="0"/>
        <w:caps w:val="0"/>
        <w:strike w:val="0"/>
        <w:dstrike w:val="0"/>
        <w:color w:val="000000"/>
        <w:spacing w:val="0"/>
        <w:kern w:val="0"/>
        <w:position w:val="0"/>
        <w:sz w:val="21"/>
        <w:szCs w:val="21"/>
        <w:u w:val="none"/>
        <w:vertAlign w:val="baseline"/>
      </w:rPr>
    </w:lvl>
    <w:lvl w:ilvl="2" w:tentative="0">
      <w:start w:val="1"/>
      <w:numFmt w:val="decimal"/>
      <w:pStyle w:val="34"/>
      <w:suff w:val="nothing"/>
      <w:lvlText w:val="%1.%2.%3　"/>
      <w:lvlJc w:val="left"/>
      <w:pPr>
        <w:ind w:left="850" w:firstLine="0"/>
      </w:pPr>
      <w:rPr>
        <w:rFonts w:hint="eastAsia" w:ascii="黑体" w:hAnsi="Times New Roman" w:eastAsia="黑体"/>
        <w:b w:val="0"/>
        <w:i w:val="0"/>
        <w:color w:val="00000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dit="trackedChanges"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EB4310"/>
    <w:rsid w:val="006E101A"/>
    <w:rsid w:val="007060A4"/>
    <w:rsid w:val="00EB4310"/>
    <w:rsid w:val="00EE5B92"/>
    <w:rsid w:val="00FC1E4E"/>
    <w:rsid w:val="01207B0A"/>
    <w:rsid w:val="032B37E3"/>
    <w:rsid w:val="06C22A4B"/>
    <w:rsid w:val="06C249CA"/>
    <w:rsid w:val="09087DFF"/>
    <w:rsid w:val="0AA525F4"/>
    <w:rsid w:val="0CEC5667"/>
    <w:rsid w:val="0D502102"/>
    <w:rsid w:val="0D5F44F5"/>
    <w:rsid w:val="0E6B6C16"/>
    <w:rsid w:val="126278C2"/>
    <w:rsid w:val="13D12EE6"/>
    <w:rsid w:val="144B722E"/>
    <w:rsid w:val="15616A53"/>
    <w:rsid w:val="161517B0"/>
    <w:rsid w:val="17D33C85"/>
    <w:rsid w:val="184C1996"/>
    <w:rsid w:val="18A1707D"/>
    <w:rsid w:val="1E1F04D0"/>
    <w:rsid w:val="1EC45B21"/>
    <w:rsid w:val="1FD62C0D"/>
    <w:rsid w:val="21BC4A4D"/>
    <w:rsid w:val="230B739B"/>
    <w:rsid w:val="24134E54"/>
    <w:rsid w:val="24874283"/>
    <w:rsid w:val="2507454D"/>
    <w:rsid w:val="25BF7042"/>
    <w:rsid w:val="26301CEE"/>
    <w:rsid w:val="26952291"/>
    <w:rsid w:val="26C63500"/>
    <w:rsid w:val="27626A18"/>
    <w:rsid w:val="27B12A32"/>
    <w:rsid w:val="28937853"/>
    <w:rsid w:val="28D4207D"/>
    <w:rsid w:val="2A743CA7"/>
    <w:rsid w:val="2B2B78CB"/>
    <w:rsid w:val="2B333853"/>
    <w:rsid w:val="2B644541"/>
    <w:rsid w:val="2C6646BB"/>
    <w:rsid w:val="2F4942ED"/>
    <w:rsid w:val="3215029E"/>
    <w:rsid w:val="3261426C"/>
    <w:rsid w:val="32D46554"/>
    <w:rsid w:val="339677F1"/>
    <w:rsid w:val="34901AAF"/>
    <w:rsid w:val="3AEC2E8A"/>
    <w:rsid w:val="3B83199E"/>
    <w:rsid w:val="3BB319F8"/>
    <w:rsid w:val="3BB456D9"/>
    <w:rsid w:val="3C4C637B"/>
    <w:rsid w:val="3F286E34"/>
    <w:rsid w:val="3FDC456B"/>
    <w:rsid w:val="413776D1"/>
    <w:rsid w:val="419C1A7C"/>
    <w:rsid w:val="41AA5F0F"/>
    <w:rsid w:val="43010842"/>
    <w:rsid w:val="449D459A"/>
    <w:rsid w:val="44F6087D"/>
    <w:rsid w:val="47DFD972"/>
    <w:rsid w:val="4CD5358B"/>
    <w:rsid w:val="4EF0782D"/>
    <w:rsid w:val="50CE33D8"/>
    <w:rsid w:val="54586682"/>
    <w:rsid w:val="54B06CE2"/>
    <w:rsid w:val="557C634E"/>
    <w:rsid w:val="55BD684B"/>
    <w:rsid w:val="59726D8A"/>
    <w:rsid w:val="59786AD1"/>
    <w:rsid w:val="5B461090"/>
    <w:rsid w:val="5C507D43"/>
    <w:rsid w:val="5C6604CA"/>
    <w:rsid w:val="5DE423D9"/>
    <w:rsid w:val="5E7B4501"/>
    <w:rsid w:val="5F7664E5"/>
    <w:rsid w:val="5FFEAB9A"/>
    <w:rsid w:val="60CF5688"/>
    <w:rsid w:val="615A5C5D"/>
    <w:rsid w:val="61FC694D"/>
    <w:rsid w:val="624125B1"/>
    <w:rsid w:val="62522543"/>
    <w:rsid w:val="63725E43"/>
    <w:rsid w:val="65E24F49"/>
    <w:rsid w:val="662621EA"/>
    <w:rsid w:val="67532640"/>
    <w:rsid w:val="694B1A4D"/>
    <w:rsid w:val="6953685D"/>
    <w:rsid w:val="6A8D0A8A"/>
    <w:rsid w:val="6AD009CD"/>
    <w:rsid w:val="6BEF52AF"/>
    <w:rsid w:val="6DA7746F"/>
    <w:rsid w:val="6DBD2DC5"/>
    <w:rsid w:val="6DC80B9F"/>
    <w:rsid w:val="6EDD24C3"/>
    <w:rsid w:val="6F523CBE"/>
    <w:rsid w:val="6FBF3E3E"/>
    <w:rsid w:val="6FCF6B26"/>
    <w:rsid w:val="6FD2A98C"/>
    <w:rsid w:val="7011394C"/>
    <w:rsid w:val="72F8342D"/>
    <w:rsid w:val="739C0C33"/>
    <w:rsid w:val="7590605C"/>
    <w:rsid w:val="75B5561A"/>
    <w:rsid w:val="77C81250"/>
    <w:rsid w:val="77DD5298"/>
    <w:rsid w:val="799824E4"/>
    <w:rsid w:val="7CC75021"/>
    <w:rsid w:val="7D492A09"/>
    <w:rsid w:val="7DC720AD"/>
    <w:rsid w:val="7DEFC605"/>
    <w:rsid w:val="7E3F7613"/>
    <w:rsid w:val="7F1F68C3"/>
    <w:rsid w:val="9DEBD2A9"/>
    <w:rsid w:val="C2B72340"/>
    <w:rsid w:val="DB3EF21D"/>
    <w:rsid w:val="DFFD77D1"/>
    <w:rsid w:val="DFFFA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4"/>
    <w:basedOn w:val="1"/>
    <w:next w:val="1"/>
    <w:link w:val="19"/>
    <w:qFormat/>
    <w:uiPriority w:val="99"/>
    <w:pPr>
      <w:keepNext/>
      <w:keepLines/>
      <w:spacing w:before="280" w:after="290" w:line="376" w:lineRule="auto"/>
      <w:outlineLvl w:val="3"/>
    </w:pPr>
    <w:rPr>
      <w:rFonts w:ascii="Arial" w:hAnsi="Arial" w:eastAsia="黑体" w:cs="Arial"/>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4"/>
    <w:qFormat/>
    <w:uiPriority w:val="0"/>
    <w:pPr>
      <w:ind w:firstLine="420" w:firstLineChars="200"/>
    </w:pPr>
    <w:rPr>
      <w:szCs w:val="20"/>
    </w:rPr>
  </w:style>
  <w:style w:type="paragraph" w:styleId="4">
    <w:name w:val="annotation text"/>
    <w:basedOn w:val="1"/>
    <w:unhideWhenUsed/>
    <w:qFormat/>
    <w:uiPriority w:val="99"/>
    <w:pPr>
      <w:jc w:val="left"/>
    </w:pPr>
  </w:style>
  <w:style w:type="paragraph" w:styleId="5">
    <w:name w:val="Body Text"/>
    <w:basedOn w:val="1"/>
    <w:link w:val="20"/>
    <w:qFormat/>
    <w:uiPriority w:val="99"/>
    <w:pPr>
      <w:spacing w:after="120"/>
    </w:pPr>
  </w:style>
  <w:style w:type="paragraph" w:styleId="6">
    <w:name w:val="Body Text Indent"/>
    <w:basedOn w:val="1"/>
    <w:link w:val="26"/>
    <w:qFormat/>
    <w:uiPriority w:val="99"/>
    <w:pPr>
      <w:spacing w:after="120"/>
      <w:ind w:left="420" w:leftChars="200"/>
    </w:pPr>
  </w:style>
  <w:style w:type="paragraph" w:styleId="7">
    <w:name w:val="Plain Text"/>
    <w:basedOn w:val="1"/>
    <w:link w:val="22"/>
    <w:qFormat/>
    <w:uiPriority w:val="99"/>
    <w:rPr>
      <w:rFonts w:ascii="宋体" w:hAnsi="Courier New" w:cs="宋体"/>
    </w:rPr>
  </w:style>
  <w:style w:type="paragraph" w:styleId="8">
    <w:name w:val="Date"/>
    <w:basedOn w:val="1"/>
    <w:next w:val="1"/>
    <w:link w:val="21"/>
    <w:qFormat/>
    <w:uiPriority w:val="0"/>
    <w:pPr>
      <w:ind w:left="100" w:leftChars="2500"/>
    </w:pPr>
  </w:style>
  <w:style w:type="paragraph" w:styleId="9">
    <w:name w:val="Body Text Indent 2"/>
    <w:basedOn w:val="1"/>
    <w:link w:val="31"/>
    <w:unhideWhenUsed/>
    <w:qFormat/>
    <w:uiPriority w:val="99"/>
    <w:pPr>
      <w:spacing w:after="120" w:line="480" w:lineRule="auto"/>
      <w:ind w:left="420" w:leftChars="200"/>
    </w:pPr>
  </w:style>
  <w:style w:type="paragraph" w:styleId="10">
    <w:name w:val="Balloon Text"/>
    <w:basedOn w:val="1"/>
    <w:link w:val="38"/>
    <w:semiHidden/>
    <w:unhideWhenUsed/>
    <w:qFormat/>
    <w:uiPriority w:val="99"/>
    <w:rPr>
      <w:sz w:val="18"/>
      <w:szCs w:val="18"/>
    </w:rPr>
  </w:style>
  <w:style w:type="paragraph" w:styleId="11">
    <w:name w:val="footer"/>
    <w:basedOn w:val="1"/>
    <w:link w:val="30"/>
    <w:unhideWhenUsed/>
    <w:qFormat/>
    <w:uiPriority w:val="99"/>
    <w:pPr>
      <w:tabs>
        <w:tab w:val="center" w:pos="4153"/>
        <w:tab w:val="right" w:pos="8306"/>
      </w:tabs>
      <w:snapToGrid w:val="0"/>
      <w:jc w:val="left"/>
    </w:pPr>
    <w:rPr>
      <w:sz w:val="18"/>
      <w:szCs w:val="18"/>
    </w:rPr>
  </w:style>
  <w:style w:type="paragraph" w:styleId="12">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99"/>
    <w:pPr>
      <w:spacing w:before="100" w:beforeAutospacing="1" w:after="100" w:afterAutospacing="1"/>
      <w:jc w:val="left"/>
    </w:pPr>
    <w:rPr>
      <w:rFonts w:ascii="Calibri" w:hAnsi="Calibri"/>
      <w:kern w:val="0"/>
      <w:sz w:val="24"/>
      <w:szCs w:val="24"/>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page number"/>
    <w:basedOn w:val="16"/>
    <w:semiHidden/>
    <w:qFormat/>
    <w:uiPriority w:val="0"/>
  </w:style>
  <w:style w:type="paragraph" w:customStyle="1" w:styleId="18">
    <w:name w:val="Plain Text1"/>
    <w:basedOn w:val="1"/>
    <w:next w:val="1"/>
    <w:qFormat/>
    <w:uiPriority w:val="0"/>
    <w:rPr>
      <w:rFonts w:ascii="宋体" w:hAnsi="Courier New"/>
    </w:rPr>
  </w:style>
  <w:style w:type="character" w:customStyle="1" w:styleId="19">
    <w:name w:val="标题 4 Char"/>
    <w:basedOn w:val="16"/>
    <w:link w:val="2"/>
    <w:qFormat/>
    <w:uiPriority w:val="9"/>
    <w:rPr>
      <w:rFonts w:ascii="Arial" w:hAnsi="Arial" w:eastAsia="黑体" w:cs="Arial"/>
      <w:b/>
      <w:bCs/>
      <w:sz w:val="28"/>
      <w:szCs w:val="28"/>
    </w:rPr>
  </w:style>
  <w:style w:type="character" w:customStyle="1" w:styleId="20">
    <w:name w:val="正文文本 Char"/>
    <w:basedOn w:val="16"/>
    <w:link w:val="5"/>
    <w:qFormat/>
    <w:uiPriority w:val="99"/>
    <w:rPr>
      <w:rFonts w:ascii="Times New Roman" w:hAnsi="Times New Roman" w:eastAsia="宋体" w:cs="Times New Roman"/>
      <w:szCs w:val="21"/>
    </w:rPr>
  </w:style>
  <w:style w:type="character" w:customStyle="1" w:styleId="21">
    <w:name w:val="日期 Char"/>
    <w:basedOn w:val="16"/>
    <w:link w:val="8"/>
    <w:qFormat/>
    <w:uiPriority w:val="0"/>
    <w:rPr>
      <w:rFonts w:ascii="Times New Roman" w:hAnsi="Times New Roman" w:eastAsia="宋体" w:cs="Times New Roman"/>
      <w:szCs w:val="21"/>
    </w:rPr>
  </w:style>
  <w:style w:type="character" w:customStyle="1" w:styleId="22">
    <w:name w:val="纯文本 Char"/>
    <w:basedOn w:val="16"/>
    <w:link w:val="7"/>
    <w:qFormat/>
    <w:uiPriority w:val="99"/>
    <w:rPr>
      <w:rFonts w:ascii="宋体" w:hAnsi="Courier New" w:eastAsia="宋体" w:cs="宋体"/>
      <w:szCs w:val="21"/>
    </w:rPr>
  </w:style>
  <w:style w:type="paragraph" w:customStyle="1" w:styleId="23">
    <w:name w:val="样式1"/>
    <w:basedOn w:val="1"/>
    <w:qFormat/>
    <w:uiPriority w:val="99"/>
    <w:pPr>
      <w:widowControl/>
      <w:spacing w:line="360" w:lineRule="auto"/>
      <w:ind w:firstLine="480" w:firstLineChars="200"/>
    </w:pPr>
    <w:rPr>
      <w:rFonts w:ascii="宋体" w:hAnsi="宋体" w:cs="宋体"/>
      <w:kern w:val="24"/>
      <w:sz w:val="24"/>
      <w:szCs w:val="24"/>
    </w:rPr>
  </w:style>
  <w:style w:type="character" w:customStyle="1" w:styleId="24">
    <w:name w:val="正文缩进 Char"/>
    <w:link w:val="3"/>
    <w:qFormat/>
    <w:uiPriority w:val="0"/>
    <w:rPr>
      <w:rFonts w:ascii="Times New Roman" w:hAnsi="Times New Roman" w:eastAsia="宋体" w:cs="Times New Roman"/>
      <w:szCs w:val="20"/>
    </w:rPr>
  </w:style>
  <w:style w:type="paragraph" w:customStyle="1" w:styleId="25">
    <w:name w:val="列出段落1"/>
    <w:basedOn w:val="1"/>
    <w:link w:val="36"/>
    <w:qFormat/>
    <w:uiPriority w:val="34"/>
    <w:pPr>
      <w:ind w:firstLine="420" w:firstLineChars="200"/>
    </w:pPr>
  </w:style>
  <w:style w:type="character" w:customStyle="1" w:styleId="26">
    <w:name w:val="正文文本缩进 Char"/>
    <w:basedOn w:val="16"/>
    <w:link w:val="6"/>
    <w:qFormat/>
    <w:uiPriority w:val="99"/>
    <w:rPr>
      <w:rFonts w:ascii="Times New Roman" w:hAnsi="Times New Roman" w:eastAsia="宋体" w:cs="Times New Roman"/>
      <w:szCs w:val="21"/>
    </w:rPr>
  </w:style>
  <w:style w:type="character" w:customStyle="1" w:styleId="27">
    <w:name w:val="fontstyle01"/>
    <w:basedOn w:val="16"/>
    <w:qFormat/>
    <w:uiPriority w:val="0"/>
    <w:rPr>
      <w:rFonts w:hint="eastAsia" w:ascii="宋体" w:hAnsi="宋体" w:eastAsia="宋体"/>
      <w:color w:val="000000"/>
      <w:sz w:val="22"/>
      <w:szCs w:val="22"/>
    </w:rPr>
  </w:style>
  <w:style w:type="paragraph" w:customStyle="1" w:styleId="28">
    <w:name w:val="列出段落11"/>
    <w:basedOn w:val="1"/>
    <w:qFormat/>
    <w:uiPriority w:val="0"/>
    <w:pPr>
      <w:ind w:firstLine="420" w:firstLineChars="200"/>
    </w:pPr>
    <w:rPr>
      <w:szCs w:val="24"/>
    </w:rPr>
  </w:style>
  <w:style w:type="character" w:customStyle="1" w:styleId="29">
    <w:name w:val="页眉 Char"/>
    <w:basedOn w:val="16"/>
    <w:link w:val="12"/>
    <w:qFormat/>
    <w:uiPriority w:val="99"/>
    <w:rPr>
      <w:rFonts w:ascii="Times New Roman" w:hAnsi="Times New Roman" w:eastAsia="宋体" w:cs="Times New Roman"/>
      <w:sz w:val="18"/>
      <w:szCs w:val="18"/>
    </w:rPr>
  </w:style>
  <w:style w:type="character" w:customStyle="1" w:styleId="30">
    <w:name w:val="页脚 Char"/>
    <w:basedOn w:val="16"/>
    <w:link w:val="11"/>
    <w:qFormat/>
    <w:uiPriority w:val="99"/>
    <w:rPr>
      <w:rFonts w:ascii="Times New Roman" w:hAnsi="Times New Roman" w:eastAsia="宋体" w:cs="Times New Roman"/>
      <w:sz w:val="18"/>
      <w:szCs w:val="18"/>
    </w:rPr>
  </w:style>
  <w:style w:type="character" w:customStyle="1" w:styleId="31">
    <w:name w:val="正文文本缩进 2 Char"/>
    <w:basedOn w:val="16"/>
    <w:link w:val="9"/>
    <w:semiHidden/>
    <w:qFormat/>
    <w:uiPriority w:val="99"/>
    <w:rPr>
      <w:rFonts w:ascii="Times New Roman" w:hAnsi="Times New Roman" w:eastAsia="宋体" w:cs="Times New Roman"/>
      <w:szCs w:val="21"/>
    </w:rPr>
  </w:style>
  <w:style w:type="paragraph" w:customStyle="1" w:styleId="32">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33">
    <w:name w:val="一级条标题"/>
    <w:next w:val="1"/>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34">
    <w:name w:val="二级条标题"/>
    <w:basedOn w:val="33"/>
    <w:next w:val="1"/>
    <w:qFormat/>
    <w:uiPriority w:val="0"/>
    <w:pPr>
      <w:numPr>
        <w:ilvl w:val="2"/>
      </w:numPr>
      <w:ind w:left="1700"/>
      <w:outlineLvl w:val="3"/>
    </w:pPr>
  </w:style>
  <w:style w:type="paragraph" w:customStyle="1" w:styleId="35">
    <w:name w:val="二级无"/>
    <w:basedOn w:val="34"/>
    <w:qFormat/>
    <w:uiPriority w:val="0"/>
    <w:pPr>
      <w:spacing w:beforeLines="0" w:afterLines="0"/>
      <w:ind w:left="850"/>
    </w:pPr>
    <w:rPr>
      <w:rFonts w:ascii="宋体" w:eastAsia="宋体"/>
    </w:rPr>
  </w:style>
  <w:style w:type="character" w:customStyle="1" w:styleId="36">
    <w:name w:val="列出段落 Char"/>
    <w:link w:val="25"/>
    <w:qFormat/>
    <w:uiPriority w:val="34"/>
    <w:rPr>
      <w:rFonts w:ascii="Times New Roman" w:hAnsi="Times New Roman" w:eastAsia="宋体" w:cs="Times New Roman"/>
      <w:szCs w:val="21"/>
    </w:rPr>
  </w:style>
  <w:style w:type="paragraph" w:customStyle="1" w:styleId="37">
    <w:name w:val="null3"/>
    <w:hidden/>
    <w:qFormat/>
    <w:uiPriority w:val="0"/>
    <w:rPr>
      <w:rFonts w:hint="eastAsia" w:asciiTheme="minorHAnsi" w:hAnsiTheme="minorHAnsi" w:eastAsiaTheme="minorEastAsia" w:cstheme="minorBidi"/>
      <w:lang w:val="en-US" w:eastAsia="zh-CN" w:bidi="ar-SA"/>
    </w:rPr>
  </w:style>
  <w:style w:type="character" w:customStyle="1" w:styleId="38">
    <w:name w:val="批注框文本 Char"/>
    <w:basedOn w:val="16"/>
    <w:link w:val="10"/>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7110</Words>
  <Characters>7433</Characters>
  <Lines>101</Lines>
  <Paragraphs>28</Paragraphs>
  <TotalTime>33</TotalTime>
  <ScaleCrop>false</ScaleCrop>
  <LinksUpToDate>false</LinksUpToDate>
  <CharactersWithSpaces>7443</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2019-05-12T01:57:00Z</dcterms:created>
  <dc:creator>Alice</dc:creator>
  <cp:lastModifiedBy>greatwall</cp:lastModifiedBy>
  <dcterms:modified xsi:type="dcterms:W3CDTF">2025-12-18T15:16:00Z</dcterms:modified>
  <dc:title>江门市中小企业数字化转型城市试点智库服务及数字化水平诊断服务</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eyJoZGlkIjoiYTM3ZjhmZjZlOTc2MTE5NjBjMzgwZjQyNmMyYzA4MTUiLCJ1c2VySWQiOiI0MDE5OTI4NDIifQ==</vt:lpwstr>
  </property>
  <property fmtid="{D5CDD505-2E9C-101B-9397-08002B2CF9AE}" pid="3" name="KSOProductBuildVer">
    <vt:lpwstr>2052-11.8.2.10681</vt:lpwstr>
  </property>
  <property fmtid="{D5CDD505-2E9C-101B-9397-08002B2CF9AE}" pid="4" name="ICV">
    <vt:lpwstr>5495377B5C10460A8973F651F56E1F50_13</vt:lpwstr>
  </property>
</Properties>
</file>