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AC6A6">
      <w:pPr>
        <w:spacing w:line="360" w:lineRule="auto"/>
        <w:jc w:val="center"/>
        <w:rPr>
          <w:rFonts w:asciiTheme="minorEastAsia" w:hAnsiTheme="minorEastAsia"/>
          <w:b/>
          <w:sz w:val="28"/>
          <w:szCs w:val="28"/>
        </w:rPr>
      </w:pPr>
      <w:r>
        <w:rPr>
          <w:rFonts w:asciiTheme="minorEastAsia" w:hAnsiTheme="minorEastAsia"/>
          <w:b/>
          <w:sz w:val="28"/>
          <w:szCs w:val="28"/>
        </w:rPr>
        <w:t>数字江门网络建设有限公司</w:t>
      </w:r>
      <w:r>
        <w:rPr>
          <w:rFonts w:hint="eastAsia" w:asciiTheme="minorEastAsia" w:hAnsiTheme="minorEastAsia"/>
          <w:b/>
          <w:sz w:val="28"/>
          <w:szCs w:val="28"/>
        </w:rPr>
        <w:t>设备采购调试及辅材安装服务项目</w:t>
      </w:r>
    </w:p>
    <w:p w14:paraId="1C3E1C3E">
      <w:pPr>
        <w:spacing w:after="120" w:line="276" w:lineRule="auto"/>
        <w:ind w:left="-6" w:leftChars="-3" w:firstLine="562" w:firstLineChars="200"/>
        <w:jc w:val="center"/>
        <w:rPr>
          <w:rFonts w:asciiTheme="minorEastAsia" w:hAnsiTheme="minorEastAsia"/>
          <w:b/>
          <w:sz w:val="28"/>
          <w:szCs w:val="28"/>
        </w:rPr>
      </w:pPr>
      <w:r>
        <w:rPr>
          <w:rFonts w:asciiTheme="minorEastAsia" w:hAnsiTheme="minorEastAsia"/>
          <w:b/>
          <w:sz w:val="28"/>
          <w:szCs w:val="28"/>
        </w:rPr>
        <w:t>采购需求</w:t>
      </w:r>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1、项目概况</w:t>
      </w:r>
    </w:p>
    <w:p w14:paraId="16BBA636">
      <w:pPr>
        <w:spacing w:line="420" w:lineRule="exact"/>
        <w:ind w:firstLine="315" w:firstLineChars="150"/>
        <w:rPr>
          <w:rFonts w:hint="eastAsia" w:ascii="宋体" w:hAnsi="宋体" w:cs="宋体"/>
          <w:szCs w:val="24"/>
          <w:highlight w:val="none"/>
        </w:rPr>
      </w:pPr>
      <w:r>
        <w:rPr>
          <w:rFonts w:hint="eastAsia" w:ascii="宋体" w:hAnsi="宋体" w:eastAsia="宋体" w:cs="宋体"/>
          <w:szCs w:val="24"/>
          <w:highlight w:val="none"/>
        </w:rPr>
        <w:t>1.1项目背景：</w:t>
      </w:r>
      <w:r>
        <w:rPr>
          <w:rFonts w:hint="eastAsia" w:ascii="宋体" w:hAnsi="宋体" w:cs="宋体"/>
          <w:szCs w:val="24"/>
          <w:highlight w:val="none"/>
        </w:rPr>
        <w:t>本项目聚焦考场信息化建设，通过科技赋能满足目前考场技术保障的迫切需求，确保考生入场安检严密高效，保障考试组织工作安全、平稳、有序。计划采购一批设备及辅材应用于指定考试场地，并开展相关的设备调试及辅材安装。</w:t>
      </w:r>
    </w:p>
    <w:p w14:paraId="3931DC4E">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000000" w:themeColor="text1"/>
          <w:szCs w:val="24"/>
          <w:highlight w:val="none"/>
          <w14:textFill>
            <w14:solidFill>
              <w14:schemeClr w14:val="tx1"/>
            </w14:solidFill>
          </w14:textFill>
        </w:rPr>
        <w:t>1.2项目主要内容：</w:t>
      </w:r>
      <w:r>
        <w:rPr>
          <w:rFonts w:hint="eastAsia" w:cs="宋体" w:asciiTheme="minorEastAsia" w:hAnsiTheme="minorEastAsia"/>
          <w:color w:val="000000"/>
          <w:kern w:val="0"/>
          <w:sz w:val="24"/>
          <w:szCs w:val="24"/>
          <w:lang w:bidi="ar"/>
        </w:rPr>
        <w:t>本</w:t>
      </w:r>
      <w:r>
        <w:rPr>
          <w:rFonts w:hint="eastAsia" w:ascii="宋体" w:hAnsi="宋体" w:eastAsia="宋体" w:cs="宋体"/>
          <w:color w:val="auto"/>
          <w:highlight w:val="none"/>
        </w:rPr>
        <w:t>项目采购设备主要包括设备采购、设备调试、辅材安装三部分。</w:t>
      </w:r>
    </w:p>
    <w:p w14:paraId="34DAE3E5">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1.3交付期或工期：接到甲方通知后90个自然日完成安装调试及验收。</w:t>
      </w:r>
    </w:p>
    <w:p w14:paraId="2830F03E">
      <w:pPr>
        <w:spacing w:line="420" w:lineRule="exact"/>
        <w:ind w:firstLine="315" w:firstLineChars="150"/>
        <w:rPr>
          <w:rFonts w:hint="eastAsia" w:ascii="宋体" w:hAnsi="宋体" w:cs="宋体"/>
          <w:color w:val="auto"/>
          <w:highlight w:val="none"/>
          <w:lang w:val="en-US" w:eastAsia="zh-CN"/>
        </w:rPr>
      </w:pPr>
      <w:r>
        <w:rPr>
          <w:rFonts w:hint="eastAsia" w:ascii="宋体" w:hAnsi="宋体" w:eastAsia="宋体" w:cs="宋体"/>
          <w:color w:val="auto"/>
          <w:highlight w:val="none"/>
        </w:rPr>
        <w:t>1.4项目预算金额：</w:t>
      </w:r>
      <w:r>
        <w:rPr>
          <w:rFonts w:hint="eastAsia" w:ascii="宋体" w:hAnsi="宋体" w:eastAsia="宋体" w:cs="宋体"/>
          <w:color w:val="auto"/>
          <w:highlight w:val="none"/>
          <w:lang w:val="en-US" w:eastAsia="zh-CN"/>
        </w:rPr>
        <w:t>最高限价</w:t>
      </w:r>
      <w:r>
        <w:rPr>
          <w:rFonts w:hint="eastAsia" w:ascii="宋体" w:hAnsi="宋体" w:cs="宋体"/>
          <w:color w:val="auto"/>
          <w:highlight w:val="none"/>
          <w:lang w:val="en-US" w:eastAsia="zh-CN"/>
        </w:rPr>
        <w:t>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549"/>
        <w:gridCol w:w="3392"/>
        <w:gridCol w:w="1497"/>
      </w:tblGrid>
      <w:tr w14:paraId="483F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B4C6E7" w:themeFill="accent1" w:themeFillTint="66"/>
            <w:vAlign w:val="center"/>
          </w:tcPr>
          <w:p w14:paraId="226AD708">
            <w:pPr>
              <w:widowControl/>
              <w:spacing w:line="360" w:lineRule="auto"/>
              <w:jc w:val="center"/>
              <w:textAlignment w:val="center"/>
              <w:rPr>
                <w:rFonts w:hAnsi="宋体" w:cs="宋体"/>
                <w:b/>
                <w:color w:val="000000"/>
                <w:sz w:val="21"/>
                <w:szCs w:val="21"/>
                <w:lang w:bidi="ar"/>
              </w:rPr>
            </w:pPr>
            <w:r>
              <w:rPr>
                <w:rFonts w:hint="eastAsia" w:ascii="宋体" w:hAnsi="宋体" w:eastAsia="宋体" w:cs="宋体"/>
                <w:b/>
                <w:color w:val="000000"/>
                <w:kern w:val="0"/>
                <w:sz w:val="21"/>
                <w:szCs w:val="21"/>
                <w:lang w:bidi="ar"/>
              </w:rPr>
              <w:t>序号</w:t>
            </w:r>
          </w:p>
        </w:tc>
        <w:tc>
          <w:tcPr>
            <w:tcW w:w="2549" w:type="dxa"/>
            <w:shd w:val="clear" w:color="auto" w:fill="B4C6E7" w:themeFill="accent1" w:themeFillTint="66"/>
            <w:vAlign w:val="center"/>
          </w:tcPr>
          <w:p w14:paraId="7E76B64D">
            <w:pPr>
              <w:widowControl/>
              <w:spacing w:line="360" w:lineRule="auto"/>
              <w:jc w:val="center"/>
              <w:textAlignment w:val="center"/>
              <w:rPr>
                <w:rFonts w:hAnsi="宋体" w:cs="宋体"/>
                <w:b/>
                <w:color w:val="000000"/>
                <w:sz w:val="21"/>
                <w:szCs w:val="21"/>
                <w:lang w:bidi="ar"/>
              </w:rPr>
            </w:pPr>
            <w:r>
              <w:rPr>
                <w:rFonts w:hint="eastAsia" w:ascii="宋体" w:hAnsi="宋体" w:eastAsia="宋体" w:cs="宋体"/>
                <w:b/>
                <w:color w:val="000000"/>
                <w:kern w:val="0"/>
                <w:sz w:val="21"/>
                <w:szCs w:val="21"/>
                <w:lang w:bidi="ar"/>
              </w:rPr>
              <w:t>设备/服务内容</w:t>
            </w:r>
          </w:p>
        </w:tc>
        <w:tc>
          <w:tcPr>
            <w:tcW w:w="3392" w:type="dxa"/>
            <w:shd w:val="clear" w:color="auto" w:fill="B4C6E7" w:themeFill="accent1" w:themeFillTint="66"/>
            <w:vAlign w:val="center"/>
          </w:tcPr>
          <w:p w14:paraId="50951070">
            <w:pPr>
              <w:jc w:val="center"/>
              <w:rPr>
                <w:b/>
                <w:sz w:val="21"/>
                <w:szCs w:val="21"/>
              </w:rPr>
            </w:pPr>
            <w:r>
              <w:rPr>
                <w:rFonts w:hint="eastAsia" w:hAnsi="宋体" w:eastAsia="宋体" w:cs="宋体"/>
                <w:b/>
                <w:color w:val="000000"/>
                <w:kern w:val="0"/>
                <w:sz w:val="21"/>
                <w:szCs w:val="21"/>
                <w:lang w:bidi="ar"/>
              </w:rPr>
              <w:t>最高</w:t>
            </w:r>
            <w:r>
              <w:rPr>
                <w:rFonts w:hint="eastAsia" w:ascii="宋体" w:hAnsi="宋体" w:eastAsia="宋体" w:cs="宋体"/>
                <w:b/>
                <w:color w:val="000000"/>
                <w:kern w:val="0"/>
                <w:sz w:val="21"/>
                <w:szCs w:val="21"/>
                <w:lang w:bidi="ar"/>
              </w:rPr>
              <w:t>限价</w:t>
            </w:r>
            <w:r>
              <w:rPr>
                <w:rFonts w:hint="eastAsia" w:hAnsi="宋体" w:eastAsia="宋体" w:cs="宋体"/>
                <w:b/>
                <w:color w:val="000000"/>
                <w:kern w:val="0"/>
                <w:sz w:val="21"/>
                <w:szCs w:val="21"/>
                <w:lang w:bidi="ar"/>
              </w:rPr>
              <w:t>（元）</w:t>
            </w:r>
          </w:p>
        </w:tc>
        <w:tc>
          <w:tcPr>
            <w:tcW w:w="1497" w:type="dxa"/>
            <w:shd w:val="clear" w:color="auto" w:fill="B4C6E7" w:themeFill="accent1" w:themeFillTint="66"/>
          </w:tcPr>
          <w:p w14:paraId="1C98093A">
            <w:pPr>
              <w:jc w:val="center"/>
              <w:rPr>
                <w:rFonts w:hAnsi="宋体" w:eastAsia="宋体" w:cs="宋体"/>
                <w:b/>
                <w:color w:val="000000"/>
                <w:kern w:val="0"/>
                <w:sz w:val="21"/>
                <w:szCs w:val="21"/>
                <w:lang w:bidi="ar"/>
              </w:rPr>
            </w:pPr>
            <w:r>
              <w:rPr>
                <w:rFonts w:hint="eastAsia" w:hAnsi="宋体" w:eastAsia="宋体" w:cs="宋体"/>
                <w:b/>
                <w:color w:val="000000"/>
                <w:kern w:val="0"/>
                <w:sz w:val="21"/>
                <w:szCs w:val="21"/>
                <w:lang w:bidi="ar"/>
              </w:rPr>
              <w:t>税率</w:t>
            </w:r>
          </w:p>
        </w:tc>
      </w:tr>
      <w:tr w14:paraId="240B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37C461C4">
            <w:pPr>
              <w:widowControl/>
              <w:spacing w:line="360" w:lineRule="auto"/>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2549" w:type="dxa"/>
            <w:vAlign w:val="center"/>
          </w:tcPr>
          <w:p w14:paraId="520B54DA">
            <w:pPr>
              <w:widowControl/>
              <w:spacing w:line="360" w:lineRule="auto"/>
              <w:jc w:val="center"/>
              <w:textAlignment w:val="center"/>
              <w:rPr>
                <w:rFonts w:ascii="宋体" w:hAnsi="宋体" w:eastAsia="宋体" w:cs="宋体"/>
                <w:color w:val="000000"/>
                <w:kern w:val="0"/>
                <w:sz w:val="21"/>
                <w:szCs w:val="21"/>
                <w:lang w:bidi="ar"/>
              </w:rPr>
            </w:pPr>
            <w:r>
              <w:rPr>
                <w:rFonts w:hint="eastAsia" w:cs="宋体" w:asciiTheme="minorEastAsia" w:hAnsiTheme="minorEastAsia"/>
                <w:color w:val="000000"/>
                <w:kern w:val="0"/>
                <w:sz w:val="21"/>
                <w:szCs w:val="21"/>
                <w:lang w:bidi="ar"/>
              </w:rPr>
              <w:t>设备采购</w:t>
            </w:r>
          </w:p>
        </w:tc>
        <w:tc>
          <w:tcPr>
            <w:tcW w:w="3392" w:type="dxa"/>
            <w:vAlign w:val="center"/>
          </w:tcPr>
          <w:p w14:paraId="21E05ABB">
            <w:pPr>
              <w:widowControl/>
              <w:spacing w:line="360" w:lineRule="auto"/>
              <w:jc w:val="center"/>
              <w:textAlignment w:val="center"/>
              <w:rPr>
                <w:rFonts w:cs="宋体" w:asciiTheme="minorEastAsia" w:hAnsiTheme="minorEastAsia"/>
                <w:color w:val="000000"/>
                <w:kern w:val="0"/>
                <w:sz w:val="21"/>
                <w:szCs w:val="21"/>
                <w:lang w:bidi="ar"/>
              </w:rPr>
            </w:pPr>
            <w:r>
              <w:rPr>
                <w:rFonts w:cs="宋体" w:asciiTheme="minorEastAsia" w:hAnsiTheme="minorEastAsia"/>
                <w:color w:val="000000"/>
                <w:kern w:val="0"/>
                <w:sz w:val="21"/>
                <w:szCs w:val="21"/>
                <w:lang w:bidi="ar"/>
              </w:rPr>
              <w:t>28000</w:t>
            </w:r>
          </w:p>
        </w:tc>
        <w:tc>
          <w:tcPr>
            <w:tcW w:w="1497" w:type="dxa"/>
          </w:tcPr>
          <w:p w14:paraId="72045B10">
            <w:pPr>
              <w:jc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ascii="宋体" w:hAnsi="宋体" w:eastAsia="宋体" w:cs="宋体"/>
                <w:color w:val="000000"/>
                <w:kern w:val="0"/>
                <w:sz w:val="21"/>
                <w:szCs w:val="21"/>
                <w:lang w:bidi="ar"/>
              </w:rPr>
              <w:t>3%</w:t>
            </w:r>
          </w:p>
        </w:tc>
      </w:tr>
      <w:tr w14:paraId="2B6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42052111">
            <w:pPr>
              <w:widowControl/>
              <w:spacing w:line="360" w:lineRule="auto"/>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2549" w:type="dxa"/>
            <w:vAlign w:val="center"/>
          </w:tcPr>
          <w:p w14:paraId="1856CB6F">
            <w:pPr>
              <w:widowControl/>
              <w:spacing w:line="360" w:lineRule="auto"/>
              <w:jc w:val="center"/>
              <w:textAlignment w:val="center"/>
              <w:rPr>
                <w:rFonts w:ascii="宋体" w:hAnsi="宋体" w:eastAsia="宋体" w:cs="宋体"/>
                <w:color w:val="000000"/>
                <w:kern w:val="0"/>
                <w:sz w:val="21"/>
                <w:szCs w:val="21"/>
                <w:lang w:bidi="ar"/>
              </w:rPr>
            </w:pPr>
            <w:r>
              <w:rPr>
                <w:rFonts w:hint="eastAsia" w:cs="宋体" w:asciiTheme="minorEastAsia" w:hAnsiTheme="minorEastAsia"/>
                <w:color w:val="000000"/>
                <w:kern w:val="0"/>
                <w:sz w:val="21"/>
                <w:szCs w:val="21"/>
                <w:lang w:bidi="ar"/>
              </w:rPr>
              <w:t>辅材安装</w:t>
            </w:r>
          </w:p>
        </w:tc>
        <w:tc>
          <w:tcPr>
            <w:tcW w:w="3392" w:type="dxa"/>
            <w:vAlign w:val="center"/>
          </w:tcPr>
          <w:p w14:paraId="12DD23F6">
            <w:pPr>
              <w:widowControl/>
              <w:spacing w:line="360" w:lineRule="auto"/>
              <w:jc w:val="center"/>
              <w:textAlignment w:val="center"/>
              <w:rPr>
                <w:rFonts w:cs="宋体" w:asciiTheme="minorEastAsia" w:hAnsiTheme="minorEastAsia"/>
                <w:color w:val="000000"/>
                <w:kern w:val="0"/>
                <w:sz w:val="21"/>
                <w:szCs w:val="21"/>
                <w:lang w:bidi="ar"/>
              </w:rPr>
            </w:pPr>
            <w:r>
              <w:rPr>
                <w:rFonts w:cs="宋体" w:asciiTheme="minorEastAsia" w:hAnsiTheme="minorEastAsia"/>
                <w:color w:val="000000"/>
                <w:kern w:val="0"/>
                <w:sz w:val="21"/>
                <w:szCs w:val="21"/>
                <w:lang w:bidi="ar"/>
              </w:rPr>
              <w:t>520000</w:t>
            </w:r>
          </w:p>
        </w:tc>
        <w:tc>
          <w:tcPr>
            <w:tcW w:w="1497" w:type="dxa"/>
          </w:tcPr>
          <w:p w14:paraId="6571B095">
            <w:pPr>
              <w:jc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9%</w:t>
            </w:r>
          </w:p>
        </w:tc>
      </w:tr>
      <w:tr w14:paraId="22E2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37DC33B3">
            <w:pPr>
              <w:widowControl/>
              <w:spacing w:line="360" w:lineRule="auto"/>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p>
        </w:tc>
        <w:tc>
          <w:tcPr>
            <w:tcW w:w="2549" w:type="dxa"/>
            <w:vAlign w:val="center"/>
          </w:tcPr>
          <w:p w14:paraId="61626BEC">
            <w:pPr>
              <w:widowControl/>
              <w:spacing w:line="360" w:lineRule="auto"/>
              <w:jc w:val="center"/>
              <w:textAlignment w:val="center"/>
              <w:rPr>
                <w:rFonts w:ascii="宋体" w:hAnsi="宋体" w:eastAsia="宋体" w:cs="宋体"/>
                <w:color w:val="000000"/>
                <w:kern w:val="0"/>
                <w:sz w:val="21"/>
                <w:szCs w:val="21"/>
                <w:lang w:bidi="ar"/>
              </w:rPr>
            </w:pPr>
            <w:r>
              <w:rPr>
                <w:rFonts w:hint="eastAsia" w:cs="宋体" w:asciiTheme="minorEastAsia" w:hAnsiTheme="minorEastAsia"/>
                <w:color w:val="000000"/>
                <w:kern w:val="0"/>
                <w:sz w:val="21"/>
                <w:szCs w:val="21"/>
                <w:lang w:bidi="ar"/>
              </w:rPr>
              <w:t>设备调试</w:t>
            </w:r>
          </w:p>
        </w:tc>
        <w:tc>
          <w:tcPr>
            <w:tcW w:w="3392" w:type="dxa"/>
            <w:vAlign w:val="center"/>
          </w:tcPr>
          <w:p w14:paraId="012590F5">
            <w:pPr>
              <w:widowControl/>
              <w:spacing w:line="360" w:lineRule="auto"/>
              <w:jc w:val="center"/>
              <w:textAlignment w:val="center"/>
              <w:rPr>
                <w:rFonts w:cs="宋体" w:asciiTheme="minorEastAsia" w:hAnsiTheme="minorEastAsia"/>
                <w:color w:val="000000"/>
                <w:kern w:val="0"/>
                <w:sz w:val="21"/>
                <w:szCs w:val="21"/>
                <w:lang w:bidi="ar"/>
              </w:rPr>
            </w:pPr>
            <w:r>
              <w:rPr>
                <w:rFonts w:cs="宋体" w:asciiTheme="minorEastAsia" w:hAnsiTheme="minorEastAsia"/>
                <w:color w:val="000000"/>
                <w:kern w:val="0"/>
                <w:sz w:val="21"/>
                <w:szCs w:val="21"/>
                <w:lang w:bidi="ar"/>
              </w:rPr>
              <w:t>70000</w:t>
            </w:r>
          </w:p>
        </w:tc>
        <w:tc>
          <w:tcPr>
            <w:tcW w:w="1497" w:type="dxa"/>
          </w:tcPr>
          <w:p w14:paraId="6696363E">
            <w:pPr>
              <w:jc w:val="center"/>
              <w:rPr>
                <w:rFonts w:ascii="宋体" w:hAnsi="宋体" w:eastAsia="宋体" w:cs="宋体"/>
                <w:color w:val="000000"/>
                <w:kern w:val="0"/>
                <w:sz w:val="21"/>
                <w:szCs w:val="21"/>
                <w:lang w:bidi="ar"/>
              </w:rPr>
            </w:pPr>
            <w:r>
              <w:rPr>
                <w:rFonts w:ascii="宋体" w:hAnsi="宋体" w:eastAsia="宋体" w:cs="宋体"/>
                <w:color w:val="000000"/>
                <w:kern w:val="0"/>
                <w:sz w:val="21"/>
                <w:szCs w:val="21"/>
                <w:lang w:bidi="ar"/>
              </w:rPr>
              <w:t>6%</w:t>
            </w:r>
          </w:p>
        </w:tc>
      </w:tr>
    </w:tbl>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rFonts w:hint="eastAsia" w:eastAsia="宋体"/>
          <w:spacing w:val="-3"/>
          <w:highlight w:val="none"/>
          <w:lang w:eastAsia="zh-CN"/>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r>
        <w:rPr>
          <w:rFonts w:hint="eastAsia"/>
          <w:spacing w:val="-3"/>
          <w:highlight w:val="none"/>
          <w:lang w:eastAsia="zh-CN"/>
        </w:rPr>
        <w:t>。</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r>
        <w:rPr>
          <w:rFonts w:hint="eastAsia" w:ascii="宋体" w:hAnsi="宋体" w:cs="宋体"/>
          <w:szCs w:val="24"/>
          <w:highlight w:val="none"/>
          <w:lang w:eastAsia="zh-CN"/>
        </w:rPr>
        <w:t>。</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20</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24</w:t>
      </w:r>
      <w:r>
        <w:rPr>
          <w:rFonts w:hint="eastAsia" w:ascii="宋体" w:hAnsi="宋体" w:eastAsia="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val="en-US" w:eastAsia="zh-CN"/>
        </w:rPr>
        <w:t>岑小姐</w:t>
      </w:r>
      <w:r>
        <w:rPr>
          <w:rFonts w:hint="eastAsia" w:ascii="宋体" w:hAnsi="宋体" w:eastAsia="宋体" w:cs="宋体"/>
          <w:color w:val="000000"/>
          <w:szCs w:val="24"/>
          <w:highlight w:val="none"/>
        </w:rPr>
        <w:t>；联系方式：0750-3081185。完成上述要求报名，本项目的报名方可成功。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24</w:t>
      </w:r>
      <w:r>
        <w:rPr>
          <w:rFonts w:hint="eastAsia" w:ascii="宋体" w:hAnsi="宋体" w:eastAsia="宋体" w:cs="宋体"/>
          <w:color w:val="000000"/>
          <w:szCs w:val="24"/>
          <w:highlight w:val="none"/>
        </w:rPr>
        <w:t>日</w:t>
      </w:r>
      <w:r>
        <w:rPr>
          <w:rFonts w:hint="eastAsia" w:ascii="宋体" w:hAnsi="宋体" w:eastAsia="宋体" w:cs="宋体"/>
          <w:color w:val="000000" w:themeColor="text1"/>
          <w:szCs w:val="21"/>
          <w:highlight w:val="none"/>
          <w14:textFill>
            <w14:solidFill>
              <w14:schemeClr w14:val="tx1"/>
            </w14:solidFill>
          </w14:textFill>
        </w:rPr>
        <w:t>17时30分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门市蓬江区建设路42号二至五层），</w:t>
      </w:r>
      <w:r>
        <w:rPr>
          <w:rFonts w:hint="eastAsia" w:ascii="宋体" w:hAnsi="宋体" w:eastAsia="宋体" w:cs="宋体"/>
          <w:szCs w:val="21"/>
          <w:highlight w:val="none"/>
        </w:rPr>
        <w:t>联系人：</w:t>
      </w:r>
      <w:r>
        <w:rPr>
          <w:rFonts w:hint="eastAsia" w:ascii="宋体" w:hAnsi="宋体" w:cs="宋体"/>
          <w:szCs w:val="21"/>
          <w:highlight w:val="none"/>
          <w:lang w:val="en-US" w:eastAsia="zh-CN"/>
        </w:rPr>
        <w:t>岑</w:t>
      </w:r>
      <w:r>
        <w:rPr>
          <w:rFonts w:hint="eastAsia" w:ascii="宋体" w:hAnsi="宋体" w:cs="宋体"/>
          <w:color w:val="000000"/>
          <w:szCs w:val="24"/>
          <w:highlight w:val="none"/>
          <w:lang w:val="en-US" w:eastAsia="zh-CN"/>
        </w:rPr>
        <w:t>小姐/0750-3081185</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岑小姐</w:t>
      </w:r>
    </w:p>
    <w:p w14:paraId="13EDBE6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7A95F0C">
      <w:pPr>
        <w:jc w:val="right"/>
        <w:rPr>
          <w:rFonts w:hint="eastAsia" w:ascii="宋体" w:hAnsi="宋体" w:cs="宋体"/>
          <w:b/>
          <w:szCs w:val="21"/>
          <w:highlight w:val="none"/>
          <w:lang w:val="en-US" w:eastAsia="zh-CN"/>
        </w:rPr>
      </w:pPr>
      <w:r>
        <w:rPr>
          <w:rFonts w:hint="eastAsia" w:ascii="宋体" w:hAnsi="宋体" w:cs="宋体"/>
          <w:b/>
          <w:szCs w:val="21"/>
          <w:highlight w:val="none"/>
          <w:lang w:val="en-US" w:eastAsia="zh-CN"/>
        </w:rPr>
        <w:t>2025年11月20</w:t>
      </w:r>
      <w:bookmarkStart w:id="0" w:name="_GoBack"/>
      <w:bookmarkEnd w:id="0"/>
      <w:r>
        <w:rPr>
          <w:rFonts w:hint="eastAsia" w:ascii="宋体" w:hAnsi="宋体" w:cs="宋体"/>
          <w:b/>
          <w:szCs w:val="21"/>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s>
  <w:rsids>
    <w:rsidRoot w:val="00E04A6B"/>
    <w:rsid w:val="00064E0E"/>
    <w:rsid w:val="000F6411"/>
    <w:rsid w:val="00966AD3"/>
    <w:rsid w:val="00E04A6B"/>
    <w:rsid w:val="0E6D3A56"/>
    <w:rsid w:val="17085A3F"/>
    <w:rsid w:val="30825359"/>
    <w:rsid w:val="36CE432F"/>
    <w:rsid w:val="39290F4A"/>
    <w:rsid w:val="43340C18"/>
    <w:rsid w:val="4D0316B8"/>
    <w:rsid w:val="4D153C17"/>
    <w:rsid w:val="4E59332A"/>
    <w:rsid w:val="4E5A3CC1"/>
    <w:rsid w:val="4FD25A40"/>
    <w:rsid w:val="53340781"/>
    <w:rsid w:val="558D3FF5"/>
    <w:rsid w:val="55FA03F0"/>
    <w:rsid w:val="683230C8"/>
    <w:rsid w:val="68442C5E"/>
    <w:rsid w:val="6CC6503E"/>
    <w:rsid w:val="70D05B28"/>
    <w:rsid w:val="73A56A86"/>
    <w:rsid w:val="7D345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sz w:val="18"/>
      <w:szCs w:val="18"/>
    </w:rPr>
  </w:style>
  <w:style w:type="paragraph" w:styleId="4">
    <w:name w:val="Body Text"/>
    <w:basedOn w:val="1"/>
    <w:link w:val="18"/>
    <w:qFormat/>
    <w:uiPriority w:val="0"/>
    <w:pPr>
      <w:spacing w:after="120"/>
    </w:pPr>
    <w:rPr>
      <w:kern w:val="0"/>
      <w:sz w:val="20"/>
      <w:szCs w:val="24"/>
    </w:rPr>
  </w:style>
  <w:style w:type="paragraph" w:styleId="5">
    <w:name w:val="Body Text Indent"/>
    <w:basedOn w:val="1"/>
    <w:link w:val="16"/>
    <w:semiHidden/>
    <w:unhideWhenUsed/>
    <w:qFormat/>
    <w:uiPriority w:val="99"/>
    <w:pPr>
      <w:spacing w:after="120"/>
      <w:ind w:left="420" w:leftChars="200"/>
    </w:pPr>
  </w:style>
  <w:style w:type="paragraph" w:styleId="6">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5"/>
    <w:link w:val="19"/>
    <w:unhideWhenUsed/>
    <w:qFormat/>
    <w:uiPriority w:val="99"/>
    <w:pPr>
      <w:ind w:firstLine="420" w:firstLineChars="200"/>
    </w:pPr>
    <w:rPr>
      <w:rFonts w:ascii="Calibri" w:hAnsi="Calibr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semiHidden/>
    <w:qFormat/>
    <w:uiPriority w:val="99"/>
    <w:rPr>
      <w:sz w:val="18"/>
      <w:szCs w:val="18"/>
    </w:rPr>
  </w:style>
  <w:style w:type="character" w:customStyle="1" w:styleId="14">
    <w:name w:val="标题 1 Char"/>
    <w:basedOn w:val="11"/>
    <w:link w:val="2"/>
    <w:qFormat/>
    <w:uiPriority w:val="0"/>
    <w:rPr>
      <w:rFonts w:ascii="Times New Roman" w:hAnsi="Times New Roman" w:eastAsia="宋体" w:cs="Times New Roman"/>
      <w:b/>
      <w:bCs/>
      <w:kern w:val="44"/>
      <w:sz w:val="44"/>
      <w:szCs w:val="44"/>
    </w:rPr>
  </w:style>
  <w:style w:type="character" w:customStyle="1" w:styleId="15">
    <w:name w:val="正文文本 Char"/>
    <w:basedOn w:val="11"/>
    <w:link w:val="4"/>
    <w:semiHidden/>
    <w:qFormat/>
    <w:uiPriority w:val="99"/>
    <w:rPr>
      <w:rFonts w:ascii="Times New Roman" w:hAnsi="Times New Roman" w:eastAsia="宋体" w:cs="Times New Roman"/>
      <w:szCs w:val="20"/>
    </w:rPr>
  </w:style>
  <w:style w:type="character" w:customStyle="1" w:styleId="16">
    <w:name w:val="正文文本缩进 Char"/>
    <w:basedOn w:val="11"/>
    <w:link w:val="5"/>
    <w:semiHidden/>
    <w:qFormat/>
    <w:uiPriority w:val="99"/>
    <w:rPr>
      <w:rFonts w:ascii="Times New Roman" w:hAnsi="Times New Roman" w:eastAsia="宋体" w:cs="Times New Roman"/>
      <w:szCs w:val="20"/>
    </w:rPr>
  </w:style>
  <w:style w:type="character" w:customStyle="1" w:styleId="17">
    <w:name w:val="正文首行缩进 2 Char"/>
    <w:basedOn w:val="16"/>
    <w:link w:val="8"/>
    <w:semiHidden/>
    <w:qFormat/>
    <w:uiPriority w:val="99"/>
  </w:style>
  <w:style w:type="character" w:customStyle="1" w:styleId="18">
    <w:name w:val="正文文本 Char1"/>
    <w:link w:val="4"/>
    <w:qFormat/>
    <w:uiPriority w:val="0"/>
    <w:rPr>
      <w:rFonts w:ascii="Times New Roman" w:hAnsi="Times New Roman" w:eastAsia="宋体" w:cs="Times New Roman"/>
      <w:kern w:val="0"/>
      <w:sz w:val="20"/>
      <w:szCs w:val="24"/>
    </w:rPr>
  </w:style>
  <w:style w:type="character" w:customStyle="1" w:styleId="19">
    <w:name w:val="正文首行缩进 2 Char1"/>
    <w:link w:val="8"/>
    <w:qFormat/>
    <w:uiPriority w:val="99"/>
    <w:rPr>
      <w:rFonts w:ascii="Calibri" w:hAnsi="Calibri" w:eastAsia="宋体" w:cs="Times New Roman"/>
      <w:szCs w:val="20"/>
    </w:rPr>
  </w:style>
  <w:style w:type="character" w:customStyle="1" w:styleId="20">
    <w:name w:val="文档结构图 Char"/>
    <w:basedOn w:val="11"/>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1520</Words>
  <Characters>1792</Characters>
  <Lines>16</Lines>
  <Paragraphs>4</Paragraphs>
  <TotalTime>0</TotalTime>
  <ScaleCrop>false</ScaleCrop>
  <LinksUpToDate>false</LinksUpToDate>
  <CharactersWithSpaces>1801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2024-12-10T02:45:00Z</dcterms:created>
  <dc:creator>n-joy</dc:creator>
  <cp:lastModifiedBy>周颖欣</cp:lastModifiedBy>
  <cp:lastPrinted>2025-11-20T01:06:02Z</cp:lastPrinted>
  <dcterms:modified xsi:type="dcterms:W3CDTF">2025-11-20T01:06:08Z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eyJoZGlkIjoiY2UzNDM2MTg5NDljYjlmZGQwMjkzNmUwNzQ4YTEyNTQiLCJ1c2VySWQiOiI1MDk2MDA1MjcifQ==</vt:lpwstr>
  </property>
  <property fmtid="{D5CDD505-2E9C-101B-9397-08002B2CF9AE}" pid="3" name="KSOProductBuildVer">
    <vt:lpwstr>2052-12.1.0.19302</vt:lpwstr>
  </property>
  <property fmtid="{D5CDD505-2E9C-101B-9397-08002B2CF9AE}" pid="4" name="ICV">
    <vt:lpwstr>63CE2CBA0AB44E3C9179440C11EEEBC4_13</vt:lpwstr>
  </property>
</Properties>
</file>