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5E84">
      <w:pPr>
        <w:pStyle w:val="24"/>
        <w:spacing w:after="156" w:line="920" w:lineRule="exact"/>
        <w:jc w:val="center"/>
        <w:rPr>
          <w:rFonts w:hAnsi="宋体" w:cs="宋体"/>
          <w:color w:val="000000"/>
          <w:sz w:val="36"/>
          <w:szCs w:val="36"/>
          <w:u w:val="single"/>
        </w:rPr>
      </w:pPr>
    </w:p>
    <w:p w14:paraId="4B8FEE2B">
      <w:pPr>
        <w:pStyle w:val="24"/>
        <w:spacing w:after="156" w:line="920" w:lineRule="exact"/>
        <w:jc w:val="center"/>
        <w:rPr>
          <w:rFonts w:hint="eastAsia" w:hAnsi="宋体" w:eastAsia="宋体" w:cs="宋体"/>
          <w:color w:val="000000"/>
          <w:sz w:val="72"/>
          <w:szCs w:val="44"/>
          <w:u w:val="single"/>
          <w:lang w:eastAsia="zh-CN"/>
        </w:rPr>
      </w:pPr>
      <w:r>
        <w:rPr>
          <w:rFonts w:hint="eastAsia" w:cs="方正小标宋_GBK" w:asciiTheme="minorEastAsia" w:hAnsiTheme="minorEastAsia" w:eastAsiaTheme="minorEastAsia"/>
          <w:b/>
          <w:spacing w:val="9"/>
          <w:sz w:val="56"/>
          <w:szCs w:val="43"/>
          <w:lang w:eastAsia="zh-CN"/>
        </w:rPr>
        <w:t>数字江门网络建设有限公司园区系统建设项目</w:t>
      </w:r>
    </w:p>
    <w:p w14:paraId="3331AFF7">
      <w:pPr>
        <w:pStyle w:val="24"/>
        <w:spacing w:after="156" w:line="920" w:lineRule="exact"/>
        <w:jc w:val="center"/>
        <w:rPr>
          <w:rFonts w:hAnsi="宋体" w:cs="宋体"/>
          <w:color w:val="000000"/>
          <w:sz w:val="44"/>
          <w:szCs w:val="44"/>
          <w:u w:val="single"/>
        </w:rPr>
      </w:pPr>
    </w:p>
    <w:p w14:paraId="1ABEA915">
      <w:pPr>
        <w:spacing w:after="120"/>
        <w:jc w:val="center"/>
        <w:rPr>
          <w:rFonts w:hint="eastAsia" w:ascii="宋体" w:hAnsi="宋体" w:cs="宋体"/>
          <w:spacing w:val="20"/>
          <w:sz w:val="32"/>
          <w:szCs w:val="32"/>
          <w:highlight w:val="yellow"/>
        </w:rPr>
      </w:pPr>
      <w:r>
        <w:rPr>
          <w:rFonts w:hint="eastAsia" w:ascii="宋体" w:hAnsi="宋体" w:cs="宋体"/>
          <w:spacing w:val="20"/>
          <w:sz w:val="32"/>
          <w:szCs w:val="32"/>
          <w:highlight w:val="none"/>
        </w:rPr>
        <w:t>项目编号：SZJM</w:t>
      </w:r>
      <w:r>
        <w:rPr>
          <w:rFonts w:ascii="宋体" w:hAnsi="宋体" w:cs="宋体"/>
          <w:spacing w:val="20"/>
          <w:sz w:val="32"/>
          <w:szCs w:val="32"/>
          <w:highlight w:val="none"/>
        </w:rPr>
        <w:t>-2025-</w:t>
      </w:r>
      <w:r>
        <w:rPr>
          <w:rFonts w:hint="eastAsia" w:ascii="宋体" w:hAnsi="宋体" w:cs="宋体"/>
          <w:spacing w:val="20"/>
          <w:sz w:val="32"/>
          <w:szCs w:val="32"/>
          <w:highlight w:val="none"/>
          <w:lang w:val="en-US" w:eastAsia="zh-CN"/>
        </w:rPr>
        <w:t>11</w:t>
      </w:r>
      <w:r>
        <w:rPr>
          <w:rFonts w:ascii="宋体" w:hAnsi="宋体" w:cs="宋体"/>
          <w:spacing w:val="20"/>
          <w:sz w:val="32"/>
          <w:szCs w:val="32"/>
          <w:highlight w:val="none"/>
        </w:rPr>
        <w:t>-00</w:t>
      </w:r>
      <w:r>
        <w:rPr>
          <w:rFonts w:hint="eastAsia" w:ascii="宋体" w:hAnsi="宋体" w:cs="宋体"/>
          <w:spacing w:val="20"/>
          <w:sz w:val="32"/>
          <w:szCs w:val="32"/>
          <w:highlight w:val="none"/>
          <w:lang w:val="en-US" w:eastAsia="zh-CN"/>
        </w:rPr>
        <w:t>5</w:t>
      </w:r>
    </w:p>
    <w:p w14:paraId="29448F33">
      <w:pPr>
        <w:spacing w:after="120" w:line="720" w:lineRule="exact"/>
        <w:jc w:val="center"/>
        <w:rPr>
          <w:rFonts w:ascii="宋体" w:hAnsi="宋体" w:cs="宋体"/>
          <w:color w:val="000000"/>
          <w:sz w:val="20"/>
        </w:rPr>
      </w:pPr>
    </w:p>
    <w:p w14:paraId="09B020F2">
      <w:pPr>
        <w:spacing w:after="120" w:line="720" w:lineRule="exact"/>
        <w:jc w:val="center"/>
        <w:rPr>
          <w:rFonts w:ascii="宋体" w:hAnsi="宋体" w:cs="宋体"/>
          <w:color w:val="000000"/>
          <w:sz w:val="20"/>
        </w:rPr>
      </w:pPr>
    </w:p>
    <w:p w14:paraId="7AB3233C">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32B8F0DA">
      <w:pPr>
        <w:spacing w:after="120" w:line="440" w:lineRule="exact"/>
        <w:jc w:val="center"/>
        <w:rPr>
          <w:rFonts w:ascii="宋体" w:hAnsi="宋体" w:cs="宋体"/>
          <w:sz w:val="20"/>
        </w:rPr>
      </w:pPr>
    </w:p>
    <w:p w14:paraId="72DBC7FE">
      <w:pPr>
        <w:spacing w:after="120" w:line="440" w:lineRule="exact"/>
        <w:jc w:val="center"/>
        <w:rPr>
          <w:rFonts w:ascii="宋体" w:hAnsi="宋体" w:cs="宋体"/>
          <w:sz w:val="20"/>
        </w:rPr>
      </w:pPr>
    </w:p>
    <w:p w14:paraId="26B34D30">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3FD3FC5E">
      <w:pPr>
        <w:spacing w:before="156" w:beforeLines="50" w:after="120" w:line="520" w:lineRule="atLeast"/>
        <w:jc w:val="center"/>
        <w:rPr>
          <w:rFonts w:ascii="宋体" w:hAnsi="宋体" w:cs="宋体"/>
          <w:color w:val="000000"/>
          <w:sz w:val="10"/>
          <w:szCs w:val="10"/>
        </w:rPr>
      </w:pPr>
    </w:p>
    <w:p w14:paraId="17DF9A36">
      <w:pPr>
        <w:spacing w:before="156" w:beforeLines="50" w:after="120" w:line="520" w:lineRule="atLeast"/>
        <w:jc w:val="center"/>
        <w:rPr>
          <w:rFonts w:ascii="宋体" w:hAnsi="宋体" w:cs="宋体"/>
        </w:rPr>
      </w:pPr>
    </w:p>
    <w:p w14:paraId="6CB74586">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ascii="宋体" w:hAnsi="宋体" w:cs="宋体"/>
          <w:color w:val="000000"/>
          <w:sz w:val="28"/>
          <w:szCs w:val="28"/>
          <w:u w:val="single"/>
        </w:rPr>
        <w:t>2025</w:t>
      </w:r>
      <w:r>
        <w:rPr>
          <w:rFonts w:hint="eastAsia" w:ascii="宋体" w:hAnsi="宋体" w:cs="宋体"/>
          <w:color w:val="000000"/>
          <w:sz w:val="28"/>
          <w:szCs w:val="28"/>
          <w:u w:val="single"/>
        </w:rPr>
        <w:t xml:space="preserve"> 年 </w:t>
      </w:r>
      <w:r>
        <w:rPr>
          <w:rFonts w:hint="eastAsia" w:ascii="宋体" w:hAnsi="宋体" w:cs="宋体"/>
          <w:color w:val="000000"/>
          <w:sz w:val="28"/>
          <w:szCs w:val="28"/>
          <w:u w:val="single"/>
          <w:lang w:val="en-US" w:eastAsia="zh-CN"/>
        </w:rPr>
        <w:t>11</w:t>
      </w:r>
      <w:r>
        <w:rPr>
          <w:rFonts w:hint="eastAsia" w:ascii="宋体" w:hAnsi="宋体" w:cs="宋体"/>
          <w:color w:val="000000"/>
          <w:sz w:val="28"/>
          <w:szCs w:val="28"/>
          <w:u w:val="single"/>
        </w:rPr>
        <w:t xml:space="preserve"> 月</w:t>
      </w:r>
    </w:p>
    <w:p w14:paraId="4D40F3FD">
      <w:pPr>
        <w:widowControl/>
        <w:spacing w:before="100" w:after="156" w:afterLines="50" w:line="400" w:lineRule="exact"/>
        <w:rPr>
          <w:rFonts w:ascii="宋体" w:hAnsi="宋体" w:cs="宋体"/>
          <w:sz w:val="32"/>
          <w:szCs w:val="32"/>
        </w:rPr>
      </w:pPr>
    </w:p>
    <w:p w14:paraId="690D7BA5">
      <w:pPr>
        <w:spacing w:after="156"/>
        <w:jc w:val="center"/>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684" w:gutter="0"/>
          <w:pgNumType w:start="0"/>
          <w:cols w:space="720" w:num="1"/>
          <w:titlePg/>
          <w:docGrid w:type="lines" w:linePitch="312" w:charSpace="0"/>
        </w:sectPr>
      </w:pPr>
    </w:p>
    <w:p w14:paraId="1B91C214">
      <w:pPr>
        <w:spacing w:after="156"/>
        <w:jc w:val="center"/>
        <w:rPr>
          <w:rFonts w:ascii="宋体" w:hAnsi="宋体" w:cs="宋体"/>
          <w:sz w:val="32"/>
          <w:szCs w:val="32"/>
        </w:rPr>
      </w:pPr>
      <w:r>
        <w:rPr>
          <w:rFonts w:hint="eastAsia" w:ascii="宋体" w:hAnsi="宋体" w:cs="宋体"/>
          <w:sz w:val="32"/>
          <w:szCs w:val="32"/>
        </w:rPr>
        <w:t>目   录</w:t>
      </w:r>
    </w:p>
    <w:p w14:paraId="78E149A9">
      <w:pPr>
        <w:pStyle w:val="50"/>
        <w:tabs>
          <w:tab w:val="right" w:leader="dot" w:pos="8306"/>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_Toc28260 </w:instrText>
      </w:r>
      <w:r>
        <w:rPr>
          <w:rFonts w:hint="eastAsia" w:ascii="宋体" w:hAnsi="宋体" w:cs="宋体"/>
          <w:szCs w:val="24"/>
        </w:rPr>
        <w:fldChar w:fldCharType="separate"/>
      </w:r>
      <w:r>
        <w:rPr>
          <w:rFonts w:hint="eastAsia" w:ascii="宋体" w:hAnsi="宋体" w:cs="宋体"/>
          <w:szCs w:val="32"/>
        </w:rPr>
        <w:t>第一章 比选公告</w:t>
      </w:r>
      <w:r>
        <w:tab/>
      </w:r>
      <w:r>
        <w:fldChar w:fldCharType="begin"/>
      </w:r>
      <w:r>
        <w:instrText xml:space="preserve"> PAGEREF _Toc28260 \h </w:instrText>
      </w:r>
      <w:r>
        <w:fldChar w:fldCharType="separate"/>
      </w:r>
      <w:r>
        <w:t>2</w:t>
      </w:r>
      <w:r>
        <w:fldChar w:fldCharType="end"/>
      </w:r>
      <w:r>
        <w:rPr>
          <w:rFonts w:hint="eastAsia" w:ascii="宋体" w:hAnsi="宋体" w:cs="宋体"/>
          <w:szCs w:val="24"/>
        </w:rPr>
        <w:fldChar w:fldCharType="end"/>
      </w:r>
    </w:p>
    <w:p w14:paraId="5DC7C59D">
      <w:pPr>
        <w:pStyle w:val="5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_Toc3387 </w:instrText>
      </w:r>
      <w:r>
        <w:rPr>
          <w:rFonts w:hint="eastAsia" w:ascii="宋体" w:hAnsi="宋体" w:cs="宋体"/>
          <w:szCs w:val="24"/>
        </w:rPr>
        <w:fldChar w:fldCharType="separate"/>
      </w:r>
      <w:r>
        <w:rPr>
          <w:rFonts w:hint="eastAsia" w:ascii="宋体" w:hAnsi="宋体" w:cs="宋体"/>
          <w:szCs w:val="32"/>
        </w:rPr>
        <w:t>第二章 比选须知</w:t>
      </w:r>
      <w:r>
        <w:tab/>
      </w:r>
      <w:r>
        <w:fldChar w:fldCharType="begin"/>
      </w:r>
      <w:r>
        <w:instrText xml:space="preserve"> PAGEREF _Toc3387 \h </w:instrText>
      </w:r>
      <w:r>
        <w:fldChar w:fldCharType="separate"/>
      </w:r>
      <w:r>
        <w:t>4</w:t>
      </w:r>
      <w:r>
        <w:fldChar w:fldCharType="end"/>
      </w:r>
      <w:r>
        <w:rPr>
          <w:rFonts w:hint="eastAsia" w:ascii="宋体" w:hAnsi="宋体" w:cs="宋体"/>
          <w:szCs w:val="24"/>
        </w:rPr>
        <w:fldChar w:fldCharType="end"/>
      </w:r>
    </w:p>
    <w:p w14:paraId="7A7C8844">
      <w:pPr>
        <w:pStyle w:val="5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_Toc10206 </w:instrText>
      </w:r>
      <w:r>
        <w:rPr>
          <w:rFonts w:hint="eastAsia" w:ascii="宋体" w:hAnsi="宋体" w:cs="宋体"/>
          <w:szCs w:val="24"/>
        </w:rPr>
        <w:fldChar w:fldCharType="separate"/>
      </w:r>
      <w:r>
        <w:rPr>
          <w:rFonts w:hint="eastAsia" w:ascii="宋体" w:hAnsi="宋体" w:cs="宋体"/>
          <w:szCs w:val="32"/>
        </w:rPr>
        <w:t>第三章 比选流程及评审方法</w:t>
      </w:r>
      <w:r>
        <w:tab/>
      </w:r>
      <w:r>
        <w:fldChar w:fldCharType="begin"/>
      </w:r>
      <w:r>
        <w:instrText xml:space="preserve"> PAGEREF _Toc10206 \h </w:instrText>
      </w:r>
      <w:r>
        <w:fldChar w:fldCharType="separate"/>
      </w:r>
      <w:r>
        <w:t>6</w:t>
      </w:r>
      <w:r>
        <w:fldChar w:fldCharType="end"/>
      </w:r>
      <w:r>
        <w:rPr>
          <w:rFonts w:hint="eastAsia" w:ascii="宋体" w:hAnsi="宋体" w:cs="宋体"/>
          <w:szCs w:val="24"/>
        </w:rPr>
        <w:fldChar w:fldCharType="end"/>
      </w:r>
    </w:p>
    <w:p w14:paraId="22E424C5">
      <w:pPr>
        <w:pStyle w:val="5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_Toc30128 </w:instrText>
      </w:r>
      <w:r>
        <w:rPr>
          <w:rFonts w:hint="eastAsia" w:ascii="宋体" w:hAnsi="宋体" w:cs="宋体"/>
          <w:szCs w:val="24"/>
        </w:rPr>
        <w:fldChar w:fldCharType="separate"/>
      </w:r>
      <w:r>
        <w:rPr>
          <w:rFonts w:hint="eastAsia" w:ascii="宋体" w:hAnsi="宋体" w:cs="宋体"/>
          <w:szCs w:val="32"/>
        </w:rPr>
        <w:t>第四章 合同条款</w:t>
      </w:r>
      <w:r>
        <w:tab/>
      </w:r>
      <w:r>
        <w:fldChar w:fldCharType="begin"/>
      </w:r>
      <w:r>
        <w:instrText xml:space="preserve"> PAGEREF _Toc30128 \h </w:instrText>
      </w:r>
      <w:r>
        <w:fldChar w:fldCharType="separate"/>
      </w:r>
      <w:r>
        <w:t>8</w:t>
      </w:r>
      <w:r>
        <w:fldChar w:fldCharType="end"/>
      </w:r>
      <w:r>
        <w:rPr>
          <w:rFonts w:hint="eastAsia" w:ascii="宋体" w:hAnsi="宋体" w:cs="宋体"/>
          <w:szCs w:val="24"/>
        </w:rPr>
        <w:fldChar w:fldCharType="end"/>
      </w:r>
    </w:p>
    <w:p w14:paraId="00C8EE8F">
      <w:pPr>
        <w:pStyle w:val="5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_Toc27002 </w:instrText>
      </w:r>
      <w:r>
        <w:rPr>
          <w:rFonts w:hint="eastAsia" w:ascii="宋体" w:hAnsi="宋体" w:cs="宋体"/>
          <w:szCs w:val="24"/>
        </w:rPr>
        <w:fldChar w:fldCharType="separate"/>
      </w:r>
      <w:r>
        <w:rPr>
          <w:rFonts w:hint="eastAsia" w:ascii="宋体" w:hAnsi="宋体" w:cs="宋体"/>
          <w:szCs w:val="32"/>
        </w:rPr>
        <w:t>第五章 采购需求</w:t>
      </w:r>
      <w:r>
        <w:tab/>
      </w:r>
      <w:r>
        <w:fldChar w:fldCharType="begin"/>
      </w:r>
      <w:r>
        <w:instrText xml:space="preserve"> PAGEREF _Toc27002 \h </w:instrText>
      </w:r>
      <w:r>
        <w:fldChar w:fldCharType="separate"/>
      </w:r>
      <w:r>
        <w:t>18</w:t>
      </w:r>
      <w:r>
        <w:fldChar w:fldCharType="end"/>
      </w:r>
      <w:r>
        <w:rPr>
          <w:rFonts w:hint="eastAsia" w:ascii="宋体" w:hAnsi="宋体" w:cs="宋体"/>
          <w:szCs w:val="24"/>
        </w:rPr>
        <w:fldChar w:fldCharType="end"/>
      </w:r>
    </w:p>
    <w:p w14:paraId="496460D1">
      <w:pPr>
        <w:pStyle w:val="5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_Toc4876 </w:instrText>
      </w:r>
      <w:r>
        <w:rPr>
          <w:rFonts w:hint="eastAsia" w:ascii="宋体" w:hAnsi="宋体" w:cs="宋体"/>
          <w:szCs w:val="24"/>
        </w:rPr>
        <w:fldChar w:fldCharType="separate"/>
      </w:r>
      <w:r>
        <w:rPr>
          <w:rFonts w:hint="eastAsia" w:ascii="宋体" w:hAnsi="宋体" w:cs="宋体"/>
          <w:szCs w:val="32"/>
        </w:rPr>
        <w:t>第六章 响应文件格式</w:t>
      </w:r>
      <w:r>
        <w:tab/>
      </w:r>
      <w:r>
        <w:fldChar w:fldCharType="begin"/>
      </w:r>
      <w:r>
        <w:instrText xml:space="preserve"> PAGEREF _Toc4876 \h </w:instrText>
      </w:r>
      <w:r>
        <w:fldChar w:fldCharType="separate"/>
      </w:r>
      <w:r>
        <w:t>22</w:t>
      </w:r>
      <w:r>
        <w:fldChar w:fldCharType="end"/>
      </w:r>
      <w:r>
        <w:rPr>
          <w:rFonts w:hint="eastAsia" w:ascii="宋体" w:hAnsi="宋体" w:cs="宋体"/>
          <w:szCs w:val="24"/>
        </w:rPr>
        <w:fldChar w:fldCharType="end"/>
      </w:r>
    </w:p>
    <w:p w14:paraId="1B04DADD">
      <w:pPr>
        <w:pStyle w:val="5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_Toc29042 </w:instrText>
      </w:r>
      <w:r>
        <w:rPr>
          <w:rFonts w:hint="eastAsia" w:ascii="宋体" w:hAnsi="宋体" w:cs="宋体"/>
          <w:szCs w:val="24"/>
        </w:rPr>
        <w:fldChar w:fldCharType="separate"/>
      </w:r>
      <w:r>
        <w:rPr>
          <w:rFonts w:hint="eastAsia" w:ascii="宋体" w:hAnsi="宋体" w:cs="宋体"/>
          <w:bCs w:val="0"/>
          <w:szCs w:val="32"/>
        </w:rPr>
        <w:t>第七章</w:t>
      </w:r>
      <w:r>
        <w:rPr>
          <w:rFonts w:hint="eastAsia" w:ascii="宋体" w:hAnsi="宋体" w:cs="宋体"/>
          <w:bCs w:val="0"/>
          <w:szCs w:val="32"/>
          <w:lang w:val="en-US" w:eastAsia="zh-CN"/>
        </w:rPr>
        <w:t xml:space="preserve"> </w:t>
      </w:r>
      <w:r>
        <w:rPr>
          <w:rFonts w:hint="eastAsia" w:ascii="宋体" w:hAnsi="宋体" w:cs="宋体"/>
          <w:bCs w:val="0"/>
          <w:szCs w:val="32"/>
        </w:rPr>
        <w:t>采购需求文件领取登记表</w:t>
      </w:r>
      <w:r>
        <w:tab/>
      </w:r>
      <w:r>
        <w:fldChar w:fldCharType="begin"/>
      </w:r>
      <w:r>
        <w:instrText xml:space="preserve"> PAGEREF _Toc29042 \h </w:instrText>
      </w:r>
      <w:r>
        <w:fldChar w:fldCharType="separate"/>
      </w:r>
      <w:r>
        <w:t>36</w:t>
      </w:r>
      <w:r>
        <w:fldChar w:fldCharType="end"/>
      </w:r>
      <w:r>
        <w:rPr>
          <w:rFonts w:hint="eastAsia" w:ascii="宋体" w:hAnsi="宋体" w:cs="宋体"/>
          <w:szCs w:val="24"/>
        </w:rPr>
        <w:fldChar w:fldCharType="end"/>
      </w:r>
    </w:p>
    <w:p w14:paraId="2A24E308">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61E1D828">
      <w:pPr>
        <w:widowControl/>
        <w:spacing w:before="100" w:after="156" w:afterLines="50" w:line="400" w:lineRule="exact"/>
        <w:rPr>
          <w:rFonts w:ascii="宋体" w:hAnsi="宋体" w:cs="宋体"/>
          <w:sz w:val="24"/>
          <w:szCs w:val="24"/>
        </w:rPr>
      </w:pPr>
    </w:p>
    <w:p w14:paraId="47144B42">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bookmarkStart w:id="2" w:name="_Toc28260"/>
      <w:r>
        <w:rPr>
          <w:rFonts w:hint="eastAsia" w:ascii="宋体" w:hAnsi="宋体" w:cs="宋体"/>
          <w:sz w:val="32"/>
          <w:szCs w:val="32"/>
        </w:rPr>
        <w:t>第一章 比选公告</w:t>
      </w:r>
      <w:bookmarkEnd w:id="1"/>
      <w:bookmarkEnd w:id="2"/>
    </w:p>
    <w:p w14:paraId="0C130D81">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59776D77">
      <w:pPr>
        <w:spacing w:line="420" w:lineRule="exact"/>
        <w:rPr>
          <w:rFonts w:ascii="宋体" w:hAnsi="宋体" w:cs="宋体"/>
          <w:sz w:val="24"/>
          <w:szCs w:val="24"/>
          <w:highlight w:val="none"/>
        </w:rPr>
      </w:pPr>
      <w:r>
        <w:rPr>
          <w:rFonts w:hint="eastAsia" w:ascii="宋体" w:hAnsi="宋体" w:cs="宋体"/>
          <w:b/>
          <w:sz w:val="24"/>
          <w:szCs w:val="24"/>
          <w:highlight w:val="none"/>
        </w:rPr>
        <w:t>1、项目概况</w:t>
      </w:r>
    </w:p>
    <w:p w14:paraId="347EDA97">
      <w:pPr>
        <w:spacing w:line="420" w:lineRule="exact"/>
        <w:ind w:firstLine="315" w:firstLineChars="150"/>
        <w:rPr>
          <w:rFonts w:ascii="宋体" w:hAnsi="宋体" w:cs="宋体"/>
          <w:szCs w:val="21"/>
          <w:highlight w:val="none"/>
        </w:rPr>
      </w:pPr>
      <w:r>
        <w:rPr>
          <w:rFonts w:hint="eastAsia" w:ascii="宋体" w:hAnsi="宋体" w:cs="宋体"/>
          <w:szCs w:val="21"/>
          <w:highlight w:val="none"/>
        </w:rPr>
        <w:t>1.1项目背景、概述：为配合我司项目工作开展，现需通过新增设施，为项目构建可靠的基础支撑环境，以满足用户使用需求。</w:t>
      </w:r>
    </w:p>
    <w:p w14:paraId="13C99896">
      <w:pPr>
        <w:spacing w:line="420" w:lineRule="exact"/>
        <w:ind w:firstLine="315" w:firstLineChars="150"/>
        <w:rPr>
          <w:rFonts w:ascii="宋体" w:hAnsi="宋体" w:cs="宋体"/>
          <w:szCs w:val="21"/>
          <w:highlight w:val="none"/>
        </w:rPr>
      </w:pPr>
      <w:r>
        <w:rPr>
          <w:rFonts w:hint="eastAsia" w:ascii="宋体" w:hAnsi="宋体" w:cs="宋体"/>
          <w:szCs w:val="21"/>
          <w:highlight w:val="none"/>
        </w:rPr>
        <w:t>1.2项目主要内容：1.视频监控系统；2.出入口道闸；3.LED大屏</w:t>
      </w:r>
      <w:r>
        <w:rPr>
          <w:rFonts w:hint="eastAsia" w:ascii="宋体" w:hAnsi="宋体" w:cs="宋体"/>
          <w:szCs w:val="21"/>
          <w:highlight w:val="none"/>
          <w:lang w:eastAsia="zh-CN"/>
        </w:rPr>
        <w:t>等</w:t>
      </w:r>
      <w:r>
        <w:rPr>
          <w:rFonts w:hint="eastAsia" w:ascii="宋体" w:hAnsi="宋体" w:cs="宋体"/>
          <w:szCs w:val="21"/>
          <w:highlight w:val="none"/>
        </w:rPr>
        <w:t>。</w:t>
      </w:r>
    </w:p>
    <w:p w14:paraId="15F3D6CC">
      <w:pPr>
        <w:spacing w:line="420" w:lineRule="exact"/>
        <w:ind w:firstLine="315" w:firstLineChars="150"/>
        <w:rPr>
          <w:rFonts w:ascii="宋体" w:hAnsi="宋体" w:cs="宋体"/>
          <w:szCs w:val="21"/>
          <w:highlight w:val="none"/>
        </w:rPr>
      </w:pPr>
      <w:r>
        <w:rPr>
          <w:rFonts w:hint="eastAsia" w:ascii="宋体" w:hAnsi="宋体" w:cs="宋体"/>
          <w:szCs w:val="21"/>
          <w:highlight w:val="none"/>
        </w:rPr>
        <w:t>1.3交付期或工期：合同签订生效后1</w:t>
      </w:r>
      <w:r>
        <w:rPr>
          <w:rFonts w:hint="eastAsia" w:ascii="宋体" w:hAnsi="宋体" w:cs="宋体"/>
          <w:szCs w:val="21"/>
          <w:highlight w:val="none"/>
          <w:lang w:val="en-US" w:eastAsia="zh-CN"/>
        </w:rPr>
        <w:t>5</w:t>
      </w:r>
      <w:r>
        <w:rPr>
          <w:rFonts w:hint="eastAsia" w:ascii="宋体" w:hAnsi="宋体" w:cs="宋体"/>
          <w:szCs w:val="21"/>
          <w:highlight w:val="none"/>
        </w:rPr>
        <w:t>个</w:t>
      </w:r>
      <w:r>
        <w:rPr>
          <w:rFonts w:hint="eastAsia" w:ascii="宋体" w:hAnsi="宋体" w:cs="宋体"/>
          <w:szCs w:val="21"/>
          <w:highlight w:val="none"/>
          <w:lang w:eastAsia="zh-CN"/>
        </w:rPr>
        <w:t>工作</w:t>
      </w:r>
      <w:r>
        <w:rPr>
          <w:rFonts w:hint="eastAsia" w:ascii="宋体" w:hAnsi="宋体" w:cs="宋体"/>
          <w:szCs w:val="21"/>
          <w:highlight w:val="none"/>
        </w:rPr>
        <w:t>日完成交付。</w:t>
      </w:r>
    </w:p>
    <w:p w14:paraId="4C04308C">
      <w:pPr>
        <w:spacing w:line="420" w:lineRule="exact"/>
        <w:ind w:firstLine="315" w:firstLineChars="150"/>
        <w:rPr>
          <w:rFonts w:ascii="宋体" w:hAnsi="宋体" w:cs="宋体"/>
          <w:szCs w:val="21"/>
          <w:highlight w:val="none"/>
        </w:rPr>
      </w:pPr>
      <w:r>
        <w:rPr>
          <w:rFonts w:hint="eastAsia" w:ascii="宋体" w:hAnsi="宋体" w:cs="宋体"/>
          <w:szCs w:val="21"/>
          <w:highlight w:val="none"/>
        </w:rPr>
        <w:t>1.4项目预算金额：人民币871,852.00元（含税）。</w:t>
      </w:r>
    </w:p>
    <w:p w14:paraId="6411D2E3">
      <w:pPr>
        <w:spacing w:line="420" w:lineRule="exact"/>
        <w:rPr>
          <w:rFonts w:ascii="宋体" w:hAnsi="宋体" w:cs="宋体"/>
          <w:sz w:val="24"/>
          <w:szCs w:val="24"/>
          <w:highlight w:val="none"/>
        </w:rPr>
      </w:pPr>
      <w:r>
        <w:rPr>
          <w:rFonts w:hint="eastAsia" w:ascii="宋体" w:hAnsi="宋体" w:cs="宋体"/>
          <w:b/>
          <w:sz w:val="24"/>
          <w:szCs w:val="24"/>
          <w:highlight w:val="none"/>
        </w:rPr>
        <w:t>2、供应商资格要求</w:t>
      </w:r>
    </w:p>
    <w:p w14:paraId="54031FB0">
      <w:pPr>
        <w:spacing w:line="420" w:lineRule="exact"/>
        <w:ind w:firstLine="315" w:firstLineChars="150"/>
        <w:rPr>
          <w:rFonts w:ascii="宋体" w:hAnsi="宋体" w:cs="宋体"/>
          <w:szCs w:val="24"/>
          <w:highlight w:val="none"/>
        </w:rPr>
      </w:pPr>
      <w:r>
        <w:rPr>
          <w:rFonts w:hint="eastAsia" w:ascii="宋体" w:hAnsi="宋体" w:cs="宋体"/>
          <w:szCs w:val="24"/>
          <w:highlight w:val="none"/>
        </w:rPr>
        <w:t>2.1投标人应当具备《</w:t>
      </w:r>
      <w:r>
        <w:rPr>
          <w:rFonts w:hint="eastAsia" w:ascii="宋体" w:hAnsi="宋体" w:cs="宋体"/>
          <w:szCs w:val="24"/>
          <w:highlight w:val="none"/>
          <w:lang w:eastAsia="zh-CN"/>
        </w:rPr>
        <w:t>中华人民共和国</w:t>
      </w:r>
      <w:r>
        <w:rPr>
          <w:rFonts w:hint="eastAsia" w:ascii="宋体" w:hAnsi="宋体" w:cs="宋体"/>
          <w:szCs w:val="24"/>
          <w:highlight w:val="none"/>
        </w:rPr>
        <w:t>政府采购法》第二十二条规定的条件。</w:t>
      </w:r>
    </w:p>
    <w:p w14:paraId="4946754E">
      <w:pPr>
        <w:spacing w:line="420" w:lineRule="exact"/>
        <w:ind w:firstLine="315" w:firstLineChars="150"/>
        <w:rPr>
          <w:rFonts w:ascii="宋体" w:hAnsi="宋体" w:cs="宋体"/>
          <w:szCs w:val="24"/>
          <w:highlight w:val="none"/>
        </w:rPr>
      </w:pPr>
      <w:r>
        <w:rPr>
          <w:rFonts w:hint="eastAsia" w:ascii="宋体" w:hAnsi="宋体" w:cs="宋体"/>
          <w:szCs w:val="24"/>
          <w:highlight w:val="none"/>
        </w:rPr>
        <w:t>2.2供应商应当是具有合法经营资格的法人或者其他组织，具有良好的信誉。</w:t>
      </w:r>
    </w:p>
    <w:p w14:paraId="145A83A5">
      <w:pPr>
        <w:spacing w:line="420" w:lineRule="exact"/>
        <w:ind w:firstLine="315" w:firstLineChars="150"/>
        <w:rPr>
          <w:rFonts w:ascii="宋体" w:hAnsi="宋体" w:cs="宋体"/>
          <w:szCs w:val="24"/>
          <w:highlight w:val="none"/>
        </w:rPr>
      </w:pPr>
      <w:r>
        <w:rPr>
          <w:rFonts w:hint="eastAsia" w:ascii="宋体" w:hAnsi="宋体" w:cs="宋体"/>
          <w:szCs w:val="24"/>
          <w:highlight w:val="none"/>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1F51486D">
      <w:pPr>
        <w:spacing w:line="420" w:lineRule="exact"/>
        <w:ind w:firstLine="315" w:firstLineChars="150"/>
        <w:rPr>
          <w:rFonts w:ascii="宋体" w:hAnsi="宋体" w:cs="宋体"/>
          <w:szCs w:val="24"/>
          <w:highlight w:val="none"/>
        </w:rPr>
      </w:pPr>
      <w:r>
        <w:rPr>
          <w:rFonts w:hint="eastAsia" w:ascii="宋体" w:hAnsi="宋体" w:cs="宋体"/>
          <w:szCs w:val="24"/>
          <w:highlight w:val="none"/>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C3C5008">
      <w:pPr>
        <w:spacing w:line="420" w:lineRule="exact"/>
        <w:ind w:firstLine="315" w:firstLineChars="150"/>
        <w:rPr>
          <w:rFonts w:hint="eastAsia" w:ascii="宋体" w:hAnsi="宋体" w:cs="宋体"/>
          <w:szCs w:val="24"/>
          <w:highlight w:val="none"/>
        </w:rPr>
      </w:pPr>
      <w:r>
        <w:rPr>
          <w:rFonts w:hint="eastAsia" w:ascii="宋体" w:hAnsi="宋体" w:cs="宋体"/>
          <w:szCs w:val="24"/>
          <w:highlight w:val="none"/>
        </w:rPr>
        <w:t>2.5单位负责人为同一人或者存在直接控股、管理关系的不同供应商，不得参加同一合同项下的政府采购活动。</w:t>
      </w:r>
    </w:p>
    <w:p w14:paraId="309AB032">
      <w:pPr>
        <w:spacing w:line="420" w:lineRule="exact"/>
        <w:ind w:firstLine="315" w:firstLineChars="150"/>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2.6</w:t>
      </w:r>
      <w:r>
        <w:rPr>
          <w:rFonts w:hint="eastAsia"/>
          <w:highlight w:val="none"/>
          <w:lang w:val="en-US" w:eastAsia="zh-CN"/>
        </w:rPr>
        <w:t>供应商提供相关产品</w:t>
      </w:r>
      <w:r>
        <w:rPr>
          <w:rFonts w:hint="eastAsia"/>
          <w:highlight w:val="none"/>
        </w:rPr>
        <w:t>制造厂商授权书</w:t>
      </w:r>
      <w:r>
        <w:rPr>
          <w:rFonts w:hint="eastAsia"/>
          <w:highlight w:val="none"/>
          <w:lang w:val="en-US" w:eastAsia="zh-CN"/>
        </w:rPr>
        <w:t>及</w:t>
      </w:r>
      <w:r>
        <w:rPr>
          <w:rFonts w:hint="eastAsia"/>
          <w:highlight w:val="none"/>
        </w:rPr>
        <w:t>产品售后服务承诺函</w:t>
      </w:r>
      <w:r>
        <w:rPr>
          <w:rFonts w:hint="eastAsia"/>
          <w:highlight w:val="none"/>
          <w:lang w:eastAsia="zh-CN"/>
        </w:rPr>
        <w:t>。</w:t>
      </w:r>
    </w:p>
    <w:p w14:paraId="1F14944A">
      <w:pPr>
        <w:spacing w:line="420" w:lineRule="exact"/>
        <w:ind w:firstLine="315" w:firstLineChars="150"/>
        <w:rPr>
          <w:rFonts w:ascii="宋体" w:hAnsi="宋体" w:cs="宋体"/>
          <w:szCs w:val="24"/>
          <w:highlight w:val="none"/>
        </w:rPr>
      </w:pPr>
      <w:r>
        <w:rPr>
          <w:rFonts w:hint="eastAsia" w:ascii="宋体" w:hAnsi="宋体" w:cs="宋体"/>
          <w:szCs w:val="24"/>
          <w:highlight w:val="none"/>
        </w:rPr>
        <w:t>2.</w:t>
      </w:r>
      <w:r>
        <w:rPr>
          <w:rFonts w:hint="eastAsia" w:ascii="宋体" w:hAnsi="宋体" w:cs="宋体"/>
          <w:szCs w:val="24"/>
          <w:highlight w:val="none"/>
          <w:lang w:val="en-US" w:eastAsia="zh-CN"/>
        </w:rPr>
        <w:t>7</w:t>
      </w:r>
      <w:r>
        <w:rPr>
          <w:rFonts w:hint="eastAsia" w:ascii="宋体" w:hAnsi="宋体" w:cs="宋体"/>
          <w:szCs w:val="24"/>
          <w:highlight w:val="none"/>
        </w:rPr>
        <w:t>本项目</w:t>
      </w:r>
      <w:r>
        <w:rPr>
          <w:rFonts w:hint="eastAsia" w:ascii="宋体" w:hAnsi="宋体" w:cs="宋体"/>
          <w:b/>
          <w:szCs w:val="24"/>
          <w:highlight w:val="none"/>
          <w:u w:val="single"/>
        </w:rPr>
        <w:t>不接受</w:t>
      </w:r>
      <w:r>
        <w:rPr>
          <w:rFonts w:hint="eastAsia" w:ascii="宋体" w:hAnsi="宋体" w:cs="宋体"/>
          <w:szCs w:val="24"/>
          <w:highlight w:val="none"/>
        </w:rPr>
        <w:t>联合体参与应答。</w:t>
      </w:r>
    </w:p>
    <w:p w14:paraId="7335B6C3">
      <w:pPr>
        <w:spacing w:line="420" w:lineRule="exact"/>
        <w:rPr>
          <w:rFonts w:ascii="宋体" w:hAnsi="宋体" w:cs="宋体"/>
          <w:sz w:val="24"/>
          <w:szCs w:val="24"/>
          <w:highlight w:val="none"/>
        </w:rPr>
      </w:pPr>
      <w:r>
        <w:rPr>
          <w:rFonts w:hint="eastAsia" w:ascii="宋体" w:hAnsi="宋体" w:cs="宋体"/>
          <w:b/>
          <w:sz w:val="24"/>
          <w:szCs w:val="24"/>
          <w:highlight w:val="none"/>
        </w:rPr>
        <w:t>3、获取比选文件</w:t>
      </w:r>
    </w:p>
    <w:p w14:paraId="2E063020">
      <w:pPr>
        <w:spacing w:line="276" w:lineRule="auto"/>
        <w:ind w:firstLine="371" w:firstLineChars="177"/>
        <w:rPr>
          <w:rFonts w:ascii="宋体" w:hAnsi="宋体" w:cs="宋体"/>
          <w:color w:val="000000"/>
          <w:szCs w:val="24"/>
          <w:highlight w:val="none"/>
        </w:rPr>
      </w:pPr>
      <w:r>
        <w:rPr>
          <w:rFonts w:hint="eastAsia" w:ascii="宋体" w:hAnsi="宋体" w:cs="宋体"/>
          <w:szCs w:val="24"/>
          <w:highlight w:val="none"/>
        </w:rPr>
        <w:t>3.1</w:t>
      </w:r>
      <w:r>
        <w:rPr>
          <w:rFonts w:hint="eastAsia" w:ascii="宋体" w:hAnsi="宋体" w:cs="宋体"/>
          <w:color w:val="000000"/>
          <w:szCs w:val="24"/>
          <w:highlight w:val="none"/>
        </w:rPr>
        <w:t>请供应商于202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19</w:t>
      </w:r>
      <w:r>
        <w:rPr>
          <w:rFonts w:hint="eastAsia" w:ascii="宋体" w:hAnsi="宋体" w:cs="宋体"/>
          <w:color w:val="000000"/>
          <w:szCs w:val="24"/>
          <w:highlight w:val="none"/>
        </w:rPr>
        <w:t>日8时30分至202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日17时30分（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w:t>
      </w:r>
      <w:r>
        <w:rPr>
          <w:rFonts w:hint="eastAsia" w:ascii="宋体" w:hAnsi="宋体" w:cs="宋体"/>
          <w:color w:val="000000"/>
          <w:szCs w:val="24"/>
          <w:highlight w:val="none"/>
          <w:lang w:val="en-US" w:eastAsia="zh-CN"/>
        </w:rPr>
        <w:t>岑</w:t>
      </w:r>
      <w:r>
        <w:rPr>
          <w:rFonts w:hint="eastAsia" w:ascii="宋体" w:hAnsi="宋体" w:cs="宋体"/>
          <w:color w:val="000000"/>
          <w:szCs w:val="24"/>
          <w:highlight w:val="none"/>
        </w:rPr>
        <w:t>小姐；联系方式：0750-</w:t>
      </w:r>
      <w:r>
        <w:rPr>
          <w:rFonts w:ascii="宋体" w:hAnsi="宋体" w:cs="宋体"/>
          <w:color w:val="000000"/>
          <w:szCs w:val="24"/>
          <w:highlight w:val="none"/>
        </w:rPr>
        <w:t>3081185</w:t>
      </w:r>
      <w:r>
        <w:rPr>
          <w:rFonts w:hint="eastAsia" w:ascii="宋体" w:hAnsi="宋体" w:cs="宋体"/>
          <w:color w:val="000000"/>
          <w:szCs w:val="24"/>
          <w:highlight w:val="none"/>
        </w:rPr>
        <w:t>。完成上述要求报名，本项目的报名方可成功。</w:t>
      </w:r>
    </w:p>
    <w:p w14:paraId="714B110C">
      <w:pPr>
        <w:spacing w:line="276" w:lineRule="auto"/>
        <w:ind w:firstLine="371" w:firstLineChars="177"/>
        <w:rPr>
          <w:rFonts w:ascii="宋体" w:hAnsi="宋体" w:cs="宋体"/>
          <w:color w:val="000000"/>
          <w:szCs w:val="24"/>
          <w:highlight w:val="none"/>
        </w:rPr>
      </w:pPr>
      <w:r>
        <w:rPr>
          <w:rFonts w:hint="eastAsia" w:ascii="宋体" w:hAnsi="宋体" w:cs="宋体"/>
          <w:color w:val="000000"/>
          <w:szCs w:val="24"/>
          <w:highlight w:val="none"/>
        </w:rPr>
        <w:t>3.2参与报价的供应商需在递交现场将《采购需求文件领取登记表》盖章原件交予数字江门网络建设有限公司采购实施部门。</w:t>
      </w:r>
    </w:p>
    <w:p w14:paraId="7A5E7D86">
      <w:pPr>
        <w:spacing w:line="420" w:lineRule="exact"/>
        <w:rPr>
          <w:rFonts w:ascii="宋体" w:hAnsi="宋体" w:cs="宋体"/>
          <w:b/>
          <w:sz w:val="24"/>
          <w:szCs w:val="24"/>
          <w:highlight w:val="none"/>
        </w:rPr>
      </w:pPr>
      <w:r>
        <w:rPr>
          <w:rFonts w:hint="eastAsia" w:ascii="宋体" w:hAnsi="宋体" w:cs="宋体"/>
          <w:b/>
          <w:sz w:val="24"/>
          <w:szCs w:val="24"/>
          <w:highlight w:val="none"/>
        </w:rPr>
        <w:t>4、资料提交方式</w:t>
      </w:r>
    </w:p>
    <w:p w14:paraId="49AA8864">
      <w:pPr>
        <w:spacing w:line="276" w:lineRule="auto"/>
        <w:ind w:firstLine="420" w:firstLineChars="200"/>
        <w:rPr>
          <w:rFonts w:ascii="宋体" w:hAnsi="宋体" w:cs="宋体"/>
          <w:szCs w:val="21"/>
          <w:highlight w:val="none"/>
        </w:rPr>
      </w:pPr>
      <w:r>
        <w:rPr>
          <w:rFonts w:hint="eastAsia" w:ascii="宋体" w:hAnsi="宋体" w:cs="宋体"/>
          <w:szCs w:val="21"/>
          <w:highlight w:val="none"/>
        </w:rPr>
        <w:t>4.1响应文件递交时间（截止时间）：202</w:t>
      </w:r>
      <w:r>
        <w:rPr>
          <w:rFonts w:ascii="宋体" w:hAnsi="宋体" w:cs="宋体"/>
          <w:szCs w:val="21"/>
          <w:highlight w:val="none"/>
        </w:rPr>
        <w:t>5</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szCs w:val="21"/>
          <w:highlight w:val="none"/>
          <w:lang w:val="en-US" w:eastAsia="zh-CN"/>
        </w:rPr>
        <w:t>21</w:t>
      </w:r>
      <w:r>
        <w:rPr>
          <w:rFonts w:hint="eastAsia" w:ascii="宋体" w:hAnsi="宋体" w:cs="宋体"/>
          <w:szCs w:val="21"/>
          <w:highlight w:val="none"/>
        </w:rPr>
        <w:t>日17时30分</w:t>
      </w:r>
      <w:r>
        <w:rPr>
          <w:rFonts w:hint="eastAsia" w:ascii="宋体" w:hAnsi="宋体" w:cs="宋体"/>
          <w:szCs w:val="21"/>
          <w:highlight w:val="none"/>
          <w:lang w:val="zh-CN"/>
        </w:rPr>
        <w:t>（北京时间，下同），</w:t>
      </w:r>
      <w:r>
        <w:rPr>
          <w:rFonts w:hint="eastAsia" w:ascii="宋体" w:hAnsi="宋体" w:cs="宋体"/>
          <w:szCs w:val="21"/>
          <w:highlight w:val="none"/>
        </w:rPr>
        <w:t>在此时间后送达的响应文件将不再接受。</w:t>
      </w:r>
    </w:p>
    <w:p w14:paraId="4A7022BB">
      <w:pPr>
        <w:spacing w:line="276" w:lineRule="auto"/>
        <w:ind w:firstLine="371" w:firstLineChars="177"/>
        <w:rPr>
          <w:rFonts w:ascii="宋体" w:hAnsi="宋体" w:cs="宋体"/>
          <w:szCs w:val="21"/>
          <w:highlight w:val="none"/>
          <w:lang w:val="zh-CN"/>
        </w:rPr>
      </w:pPr>
      <w:r>
        <w:rPr>
          <w:rFonts w:hint="eastAsia" w:ascii="宋体" w:hAnsi="宋体" w:cs="宋体"/>
          <w:szCs w:val="21"/>
          <w:highlight w:val="none"/>
        </w:rPr>
        <w:t>4.2响应文件递交地址：</w:t>
      </w:r>
      <w:r>
        <w:rPr>
          <w:rFonts w:hint="eastAsia" w:ascii="宋体" w:hAnsi="宋体" w:cs="宋体"/>
          <w:szCs w:val="21"/>
          <w:highlight w:val="none"/>
          <w:lang w:val="zh-CN"/>
        </w:rPr>
        <w:t>数字江门网络建设有限公司（地址：</w:t>
      </w:r>
      <w:r>
        <w:rPr>
          <w:rFonts w:hint="eastAsia" w:ascii="宋体" w:hAnsi="宋体" w:cs="宋体"/>
          <w:szCs w:val="21"/>
          <w:highlight w:val="none"/>
        </w:rPr>
        <w:t>江门市蓬江区建设路42号二至五层</w:t>
      </w:r>
      <w:r>
        <w:rPr>
          <w:rFonts w:hint="eastAsia" w:ascii="宋体" w:hAnsi="宋体" w:cs="宋体"/>
          <w:szCs w:val="21"/>
          <w:highlight w:val="none"/>
          <w:lang w:val="zh-CN"/>
        </w:rPr>
        <w:t>），</w:t>
      </w:r>
      <w:r>
        <w:rPr>
          <w:rFonts w:hint="eastAsia" w:ascii="宋体" w:hAnsi="宋体" w:cs="宋体"/>
          <w:szCs w:val="21"/>
          <w:highlight w:val="none"/>
        </w:rPr>
        <w:t>联系人：</w:t>
      </w:r>
      <w:r>
        <w:rPr>
          <w:rFonts w:hint="eastAsia" w:ascii="宋体" w:hAnsi="宋体" w:cs="宋体"/>
          <w:szCs w:val="21"/>
          <w:highlight w:val="none"/>
          <w:lang w:val="en-US" w:eastAsia="zh-CN"/>
        </w:rPr>
        <w:t>岑</w:t>
      </w:r>
      <w:r>
        <w:rPr>
          <w:rFonts w:hint="eastAsia" w:ascii="宋体" w:hAnsi="宋体" w:cs="宋体"/>
          <w:color w:val="000000"/>
          <w:szCs w:val="24"/>
          <w:highlight w:val="none"/>
        </w:rPr>
        <w:t>小姐</w:t>
      </w:r>
      <w:r>
        <w:rPr>
          <w:rFonts w:hint="eastAsia" w:ascii="宋体" w:hAnsi="宋体" w:cs="宋体"/>
          <w:szCs w:val="21"/>
          <w:highlight w:val="none"/>
        </w:rPr>
        <w:t>/0750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lang w:val="zh-CN"/>
        </w:rPr>
        <w:t>(工作时间:工作日8:</w:t>
      </w:r>
      <w:r>
        <w:rPr>
          <w:rFonts w:hint="eastAsia" w:ascii="宋体" w:hAnsi="宋体" w:cs="宋体"/>
          <w:szCs w:val="21"/>
          <w:highlight w:val="none"/>
        </w:rPr>
        <w:t>30</w:t>
      </w:r>
      <w:r>
        <w:rPr>
          <w:rFonts w:hint="eastAsia" w:ascii="宋体" w:hAnsi="宋体" w:cs="宋体"/>
          <w:szCs w:val="21"/>
          <w:highlight w:val="none"/>
          <w:lang w:val="zh-CN"/>
        </w:rPr>
        <w:t>-</w:t>
      </w:r>
      <w:r>
        <w:rPr>
          <w:rFonts w:hint="eastAsia" w:ascii="宋体" w:hAnsi="宋体" w:cs="宋体"/>
          <w:szCs w:val="21"/>
          <w:highlight w:val="none"/>
        </w:rPr>
        <w:t>12:00，14:30-</w:t>
      </w:r>
      <w:r>
        <w:rPr>
          <w:rFonts w:hint="eastAsia" w:ascii="宋体" w:hAnsi="宋体" w:cs="宋体"/>
          <w:szCs w:val="21"/>
          <w:highlight w:val="none"/>
          <w:lang w:val="zh-CN"/>
        </w:rPr>
        <w:t>1</w:t>
      </w:r>
      <w:r>
        <w:rPr>
          <w:rFonts w:hint="eastAsia" w:ascii="宋体" w:hAnsi="宋体" w:cs="宋体"/>
          <w:szCs w:val="21"/>
          <w:highlight w:val="none"/>
        </w:rPr>
        <w:t>7</w:t>
      </w: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0)。</w:t>
      </w:r>
    </w:p>
    <w:p w14:paraId="543D890B">
      <w:pPr>
        <w:spacing w:line="276" w:lineRule="auto"/>
        <w:ind w:firstLine="420" w:firstLineChars="200"/>
        <w:rPr>
          <w:rFonts w:ascii="宋体" w:hAnsi="宋体" w:cs="宋体"/>
          <w:szCs w:val="21"/>
          <w:highlight w:val="none"/>
        </w:rPr>
      </w:pPr>
      <w:r>
        <w:rPr>
          <w:rFonts w:hint="eastAsia" w:ascii="宋体" w:hAnsi="宋体" w:cs="宋体"/>
          <w:szCs w:val="21"/>
          <w:highlight w:val="none"/>
        </w:rPr>
        <w:t>4.3响应文件</w:t>
      </w:r>
      <w:r>
        <w:rPr>
          <w:rFonts w:hint="eastAsia" w:ascii="宋体" w:hAnsi="宋体" w:cs="宋体"/>
          <w:szCs w:val="21"/>
          <w:highlight w:val="none"/>
          <w:lang w:val="zh-CN"/>
        </w:rPr>
        <w:t>，</w:t>
      </w:r>
      <w:r>
        <w:rPr>
          <w:rFonts w:hint="eastAsia" w:ascii="宋体" w:hAnsi="宋体" w:cs="宋体"/>
          <w:szCs w:val="21"/>
          <w:highlight w:val="none"/>
        </w:rPr>
        <w:t>需</w:t>
      </w:r>
      <w:r>
        <w:rPr>
          <w:rFonts w:hint="eastAsia" w:ascii="宋体" w:hAnsi="宋体" w:cs="宋体"/>
          <w:szCs w:val="21"/>
          <w:highlight w:val="none"/>
          <w:lang w:val="zh-CN"/>
        </w:rPr>
        <w:t>用信封密封，在密封袋上标明</w:t>
      </w:r>
      <w:r>
        <w:rPr>
          <w:rFonts w:hint="eastAsia" w:ascii="宋体" w:hAnsi="宋体" w:cs="宋体"/>
          <w:szCs w:val="21"/>
          <w:highlight w:val="none"/>
        </w:rPr>
        <w:t>项目</w:t>
      </w:r>
      <w:r>
        <w:rPr>
          <w:rFonts w:hint="eastAsia" w:ascii="宋体" w:hAnsi="宋体" w:cs="宋体"/>
          <w:szCs w:val="21"/>
          <w:highlight w:val="none"/>
          <w:lang w:val="zh-CN"/>
        </w:rPr>
        <w:t>编号、供应项目名称、供应人名称，密封袋两头封口处均需贴封条。</w:t>
      </w:r>
    </w:p>
    <w:p w14:paraId="5E5728BC">
      <w:pPr>
        <w:spacing w:line="276" w:lineRule="auto"/>
        <w:ind w:firstLine="420" w:firstLineChars="200"/>
        <w:rPr>
          <w:rFonts w:ascii="宋体" w:hAnsi="宋体" w:cs="宋体"/>
          <w:szCs w:val="21"/>
          <w:highlight w:val="none"/>
        </w:rPr>
      </w:pPr>
      <w:r>
        <w:rPr>
          <w:rFonts w:hint="eastAsia" w:ascii="宋体" w:hAnsi="宋体" w:cs="宋体"/>
          <w:szCs w:val="21"/>
          <w:highlight w:val="none"/>
        </w:rPr>
        <w:t>4.4响应文件可以现场递交，邮寄、快递方式需要在响应文件截止时间前，确保采购方签收。</w:t>
      </w:r>
    </w:p>
    <w:p w14:paraId="14A87AE0">
      <w:pPr>
        <w:spacing w:line="420" w:lineRule="exact"/>
        <w:rPr>
          <w:rFonts w:ascii="宋体" w:hAnsi="宋体" w:cs="宋体"/>
          <w:b/>
          <w:sz w:val="24"/>
          <w:szCs w:val="24"/>
          <w:highlight w:val="none"/>
        </w:rPr>
      </w:pPr>
      <w:r>
        <w:rPr>
          <w:rFonts w:hint="eastAsia" w:ascii="宋体" w:hAnsi="宋体" w:cs="宋体"/>
          <w:b/>
          <w:sz w:val="24"/>
          <w:szCs w:val="24"/>
          <w:highlight w:val="none"/>
        </w:rPr>
        <w:t>5．发布公告的媒介</w:t>
      </w:r>
    </w:p>
    <w:p w14:paraId="5E16531A">
      <w:pPr>
        <w:spacing w:line="276" w:lineRule="auto"/>
        <w:ind w:firstLine="420" w:firstLineChars="200"/>
        <w:rPr>
          <w:rFonts w:ascii="宋体" w:hAnsi="宋体" w:cs="宋体"/>
          <w:szCs w:val="21"/>
          <w:highlight w:val="none"/>
        </w:rPr>
      </w:pPr>
      <w:r>
        <w:rPr>
          <w:rFonts w:hint="eastAsia" w:ascii="宋体" w:hAnsi="宋体" w:cs="宋体"/>
          <w:szCs w:val="21"/>
          <w:highlight w:val="none"/>
        </w:rPr>
        <w:t>5.1本次采购公告只在江门市采购行业协会（“江门市采购行业协会”，网址：https://www.jmcgxh.org.cn）上发布。</w:t>
      </w:r>
    </w:p>
    <w:p w14:paraId="0C2CEAAF">
      <w:pPr>
        <w:spacing w:line="276" w:lineRule="auto"/>
        <w:ind w:firstLine="420" w:firstLineChars="200"/>
        <w:rPr>
          <w:rFonts w:ascii="宋体" w:hAnsi="宋体" w:cs="宋体"/>
          <w:szCs w:val="21"/>
          <w:highlight w:val="none"/>
        </w:rPr>
      </w:pPr>
      <w:r>
        <w:rPr>
          <w:rFonts w:hint="eastAsia" w:ascii="宋体" w:hAnsi="宋体" w:cs="宋体"/>
          <w:szCs w:val="21"/>
          <w:highlight w:val="none"/>
        </w:rPr>
        <w:t>5.2 除上述媒介之外我公司不会在其他任何网站、论坛等媒体上发布该项目公告，对于非法转载、篡改采购信息内容的组织或个人，我公司保留追究其法律责任的权利。</w:t>
      </w:r>
    </w:p>
    <w:p w14:paraId="3409D011">
      <w:pPr>
        <w:spacing w:line="276" w:lineRule="auto"/>
        <w:ind w:firstLine="420" w:firstLineChars="200"/>
        <w:rPr>
          <w:rFonts w:ascii="宋体" w:hAnsi="宋体" w:cs="宋体"/>
          <w:szCs w:val="21"/>
          <w:highlight w:val="none"/>
        </w:rPr>
      </w:pPr>
      <w:r>
        <w:rPr>
          <w:rFonts w:hint="eastAsia" w:ascii="宋体" w:hAnsi="宋体" w:cs="宋体"/>
          <w:szCs w:val="21"/>
          <w:highlight w:val="none"/>
        </w:rPr>
        <w:t>5.3 请各供应商提高警惕，不要向其他组织、个人支付相关款项，避免上当受骗。供应商由此而造成的经济损失，我公司不承担任何责任。</w:t>
      </w:r>
    </w:p>
    <w:p w14:paraId="2CF5327A">
      <w:pPr>
        <w:spacing w:line="380" w:lineRule="exact"/>
        <w:rPr>
          <w:rFonts w:ascii="宋体" w:hAnsi="宋体" w:cs="宋体"/>
          <w:b/>
          <w:sz w:val="24"/>
          <w:szCs w:val="24"/>
          <w:highlight w:val="none"/>
        </w:rPr>
      </w:pPr>
      <w:r>
        <w:rPr>
          <w:rFonts w:hint="eastAsia" w:ascii="宋体" w:hAnsi="宋体" w:cs="宋体"/>
          <w:b/>
          <w:sz w:val="24"/>
          <w:szCs w:val="24"/>
          <w:highlight w:val="none"/>
        </w:rPr>
        <w:t>6、联系方式</w:t>
      </w:r>
    </w:p>
    <w:p w14:paraId="549A08D7">
      <w:pPr>
        <w:spacing w:line="276" w:lineRule="auto"/>
        <w:ind w:firstLine="411" w:firstLineChars="196"/>
        <w:rPr>
          <w:rFonts w:ascii="宋体" w:hAnsi="宋体" w:cs="宋体"/>
          <w:szCs w:val="21"/>
          <w:highlight w:val="none"/>
        </w:rPr>
      </w:pPr>
      <w:r>
        <w:rPr>
          <w:rFonts w:hint="eastAsia" w:ascii="宋体" w:hAnsi="宋体" w:cs="宋体"/>
          <w:szCs w:val="21"/>
          <w:highlight w:val="none"/>
        </w:rPr>
        <w:t>采 购 人：数字江门网络建设有限公司</w:t>
      </w:r>
    </w:p>
    <w:p w14:paraId="1F853E83">
      <w:pPr>
        <w:spacing w:line="276" w:lineRule="auto"/>
        <w:ind w:firstLine="411" w:firstLineChars="196"/>
        <w:rPr>
          <w:rFonts w:ascii="宋体" w:hAnsi="宋体" w:cs="宋体"/>
          <w:szCs w:val="21"/>
          <w:highlight w:val="none"/>
        </w:rPr>
      </w:pPr>
      <w:r>
        <w:rPr>
          <w:rFonts w:hint="eastAsia" w:ascii="宋体" w:hAnsi="宋体" w:cs="宋体"/>
          <w:szCs w:val="21"/>
          <w:highlight w:val="none"/>
        </w:rPr>
        <w:t>地    址：江门市蓬江区建设路42号二至五层</w:t>
      </w:r>
    </w:p>
    <w:p w14:paraId="3760CA05">
      <w:pPr>
        <w:spacing w:line="276" w:lineRule="auto"/>
        <w:ind w:firstLine="411" w:firstLineChars="196"/>
        <w:rPr>
          <w:rFonts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val="en-US" w:eastAsia="zh-CN"/>
        </w:rPr>
        <w:t>岑</w:t>
      </w:r>
      <w:r>
        <w:rPr>
          <w:rFonts w:hint="eastAsia" w:ascii="宋体" w:hAnsi="宋体" w:cs="宋体"/>
          <w:szCs w:val="21"/>
          <w:highlight w:val="none"/>
        </w:rPr>
        <w:t>小姐</w:t>
      </w:r>
    </w:p>
    <w:p w14:paraId="3CCA66E0">
      <w:pPr>
        <w:spacing w:line="276" w:lineRule="auto"/>
        <w:ind w:firstLine="411" w:firstLineChars="196"/>
        <w:rPr>
          <w:rFonts w:ascii="宋体" w:hAnsi="宋体" w:cs="宋体"/>
          <w:szCs w:val="21"/>
          <w:highlight w:val="none"/>
        </w:rPr>
      </w:pPr>
      <w:r>
        <w:rPr>
          <w:rFonts w:hint="eastAsia" w:ascii="宋体" w:hAnsi="宋体" w:cs="宋体"/>
          <w:szCs w:val="21"/>
          <w:highlight w:val="none"/>
        </w:rPr>
        <w:t>联系人电话：0750</w:t>
      </w:r>
      <w:r>
        <w:rPr>
          <w:rFonts w:hint="eastAsia" w:ascii="宋体" w:hAnsi="宋体" w:cs="宋体"/>
          <w:color w:val="000000"/>
          <w:szCs w:val="24"/>
          <w:highlight w:val="none"/>
        </w:rPr>
        <w:t>-</w:t>
      </w:r>
      <w:r>
        <w:rPr>
          <w:rFonts w:ascii="宋体" w:hAnsi="宋体" w:cs="宋体"/>
          <w:color w:val="000000"/>
          <w:szCs w:val="24"/>
          <w:highlight w:val="none"/>
        </w:rPr>
        <w:t>3081185</w:t>
      </w:r>
      <w:r>
        <w:rPr>
          <w:rFonts w:hint="eastAsia" w:ascii="宋体" w:hAnsi="宋体" w:cs="宋体"/>
          <w:szCs w:val="21"/>
          <w:highlight w:val="none"/>
        </w:rPr>
        <w:t>(工作时间:工作日8:30-12:00，14:30-17:30)</w:t>
      </w:r>
    </w:p>
    <w:p w14:paraId="33859721">
      <w:pPr>
        <w:ind w:firstLine="422" w:firstLineChars="200"/>
        <w:jc w:val="center"/>
        <w:rPr>
          <w:rFonts w:ascii="宋体" w:hAnsi="宋体" w:cs="宋体"/>
          <w:b/>
          <w:szCs w:val="21"/>
          <w:highlight w:val="none"/>
        </w:rPr>
      </w:pPr>
    </w:p>
    <w:p w14:paraId="35D8B78D">
      <w:pPr>
        <w:ind w:firstLine="422" w:firstLineChars="200"/>
        <w:jc w:val="center"/>
        <w:rPr>
          <w:rFonts w:ascii="宋体" w:hAnsi="宋体" w:cs="宋体"/>
          <w:b/>
          <w:szCs w:val="21"/>
        </w:rPr>
      </w:pPr>
    </w:p>
    <w:p w14:paraId="7AA6E54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2AC50D2">
      <w:pPr>
        <w:ind w:right="105"/>
        <w:jc w:val="right"/>
        <w:rPr>
          <w:rFonts w:ascii="宋体" w:hAnsi="宋体" w:cs="宋体"/>
          <w:b/>
          <w:szCs w:val="21"/>
        </w:rPr>
      </w:pPr>
      <w:r>
        <w:rPr>
          <w:rFonts w:hint="eastAsia" w:ascii="宋体" w:hAnsi="宋体" w:cs="宋体"/>
          <w:b/>
          <w:szCs w:val="21"/>
        </w:rPr>
        <w:t>202</w:t>
      </w:r>
      <w:r>
        <w:rPr>
          <w:rFonts w:ascii="宋体" w:hAnsi="宋体" w:cs="宋体"/>
          <w:b/>
          <w:szCs w:val="21"/>
        </w:rPr>
        <w:t>5</w:t>
      </w:r>
      <w:r>
        <w:rPr>
          <w:rFonts w:hint="eastAsia" w:ascii="宋体" w:hAnsi="宋体" w:cs="宋体"/>
          <w:b/>
          <w:szCs w:val="21"/>
        </w:rPr>
        <w:t>年</w:t>
      </w:r>
      <w:r>
        <w:rPr>
          <w:rFonts w:hint="eastAsia" w:ascii="宋体" w:hAnsi="宋体" w:cs="宋体"/>
          <w:b/>
          <w:szCs w:val="21"/>
          <w:lang w:val="en-US" w:eastAsia="zh-CN"/>
        </w:rPr>
        <w:t>11</w:t>
      </w:r>
      <w:r>
        <w:rPr>
          <w:rFonts w:hint="eastAsia" w:ascii="宋体" w:hAnsi="宋体" w:cs="宋体"/>
          <w:b/>
          <w:szCs w:val="21"/>
        </w:rPr>
        <w:t>月</w:t>
      </w:r>
      <w:r>
        <w:rPr>
          <w:rFonts w:hint="eastAsia" w:ascii="宋体" w:hAnsi="宋体" w:cs="宋体"/>
          <w:b/>
          <w:szCs w:val="21"/>
          <w:lang w:val="en-US" w:eastAsia="zh-CN"/>
        </w:rPr>
        <w:t>19</w:t>
      </w:r>
      <w:r>
        <w:rPr>
          <w:rFonts w:hint="eastAsia" w:ascii="宋体" w:hAnsi="宋体" w:cs="宋体"/>
          <w:b/>
          <w:szCs w:val="21"/>
        </w:rPr>
        <w:t>日</w:t>
      </w:r>
    </w:p>
    <w:p w14:paraId="3FEDBD76">
      <w:pPr>
        <w:ind w:right="105"/>
        <w:jc w:val="right"/>
        <w:rPr>
          <w:rFonts w:ascii="宋体" w:hAnsi="宋体" w:cs="宋体"/>
          <w:b/>
          <w:szCs w:val="21"/>
        </w:rPr>
      </w:pPr>
      <w:r>
        <w:rPr>
          <w:rFonts w:hint="eastAsia" w:ascii="宋体" w:hAnsi="宋体" w:cs="宋体"/>
          <w:b/>
          <w:szCs w:val="21"/>
        </w:rPr>
        <w:br w:type="page"/>
      </w:r>
    </w:p>
    <w:p w14:paraId="3AA8A438">
      <w:pPr>
        <w:pStyle w:val="2"/>
        <w:jc w:val="center"/>
        <w:rPr>
          <w:rFonts w:ascii="宋体" w:hAnsi="宋体" w:cs="宋体"/>
          <w:sz w:val="32"/>
          <w:szCs w:val="32"/>
        </w:rPr>
      </w:pPr>
      <w:bookmarkStart w:id="3" w:name="_Toc357696405"/>
      <w:bookmarkStart w:id="4" w:name="_Toc31382"/>
      <w:bookmarkStart w:id="5" w:name="_Toc3387"/>
      <w:r>
        <w:rPr>
          <w:rFonts w:hint="eastAsia" w:ascii="宋体" w:hAnsi="宋体" w:cs="宋体"/>
          <w:sz w:val="32"/>
          <w:szCs w:val="32"/>
        </w:rPr>
        <w:t>第二章 比选须知</w:t>
      </w:r>
      <w:bookmarkEnd w:id="3"/>
      <w:bookmarkEnd w:id="4"/>
      <w:bookmarkEnd w:id="5"/>
    </w:p>
    <w:p w14:paraId="0811DACB">
      <w:pPr>
        <w:rPr>
          <w:rFonts w:ascii="宋体" w:hAnsi="宋体" w:cs="宋体"/>
          <w:b/>
        </w:rPr>
      </w:pPr>
      <w:r>
        <w:rPr>
          <w:rFonts w:hint="eastAsia" w:ascii="宋体" w:hAnsi="宋体" w:cs="宋体"/>
          <w:b/>
        </w:rPr>
        <w:t>比选须知前附表：</w:t>
      </w:r>
    </w:p>
    <w:tbl>
      <w:tblPr>
        <w:tblStyle w:val="77"/>
        <w:tblW w:w="9404"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285"/>
      </w:tblGrid>
      <w:tr w14:paraId="287FD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vAlign w:val="center"/>
          </w:tcPr>
          <w:p w14:paraId="2DA49ACF">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2551" w:type="dxa"/>
            <w:vAlign w:val="center"/>
          </w:tcPr>
          <w:p w14:paraId="0A4772E4">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6285" w:type="dxa"/>
            <w:vAlign w:val="center"/>
          </w:tcPr>
          <w:p w14:paraId="0491C1DC">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2919B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vAlign w:val="center"/>
          </w:tcPr>
          <w:p w14:paraId="37950E8A">
            <w:pPr>
              <w:jc w:val="center"/>
              <w:rPr>
                <w:rFonts w:ascii="宋体" w:hAnsi="宋体" w:cs="宋体"/>
                <w:spacing w:val="8"/>
                <w:kern w:val="24"/>
                <w:szCs w:val="21"/>
              </w:rPr>
            </w:pPr>
            <w:r>
              <w:rPr>
                <w:rFonts w:hint="eastAsia" w:ascii="宋体" w:hAnsi="宋体" w:cs="宋体"/>
                <w:spacing w:val="8"/>
                <w:kern w:val="24"/>
                <w:szCs w:val="21"/>
              </w:rPr>
              <w:t>1</w:t>
            </w:r>
          </w:p>
        </w:tc>
        <w:tc>
          <w:tcPr>
            <w:tcW w:w="2551" w:type="dxa"/>
            <w:vAlign w:val="center"/>
          </w:tcPr>
          <w:p w14:paraId="1B78D593">
            <w:pPr>
              <w:jc w:val="center"/>
              <w:rPr>
                <w:rFonts w:ascii="宋体" w:hAnsi="宋体" w:cs="宋体"/>
                <w:spacing w:val="8"/>
                <w:kern w:val="24"/>
                <w:szCs w:val="21"/>
              </w:rPr>
            </w:pPr>
            <w:r>
              <w:rPr>
                <w:rFonts w:hint="eastAsia" w:ascii="宋体" w:hAnsi="宋体" w:cs="宋体"/>
                <w:spacing w:val="8"/>
                <w:kern w:val="24"/>
                <w:szCs w:val="21"/>
              </w:rPr>
              <w:t>项目名称</w:t>
            </w:r>
          </w:p>
        </w:tc>
        <w:tc>
          <w:tcPr>
            <w:tcW w:w="6285" w:type="dxa"/>
            <w:vAlign w:val="center"/>
          </w:tcPr>
          <w:p w14:paraId="4191A175">
            <w:pPr>
              <w:rPr>
                <w:rFonts w:hint="eastAsia" w:ascii="宋体" w:hAnsi="宋体" w:eastAsia="宋体" w:cs="宋体"/>
                <w:spacing w:val="8"/>
                <w:kern w:val="24"/>
                <w:szCs w:val="21"/>
                <w:lang w:eastAsia="zh-CN"/>
              </w:rPr>
            </w:pPr>
            <w:r>
              <w:rPr>
                <w:rFonts w:hint="eastAsia" w:ascii="宋体" w:hAnsi="宋体" w:cs="宋体"/>
                <w:szCs w:val="24"/>
                <w:highlight w:val="none"/>
                <w:lang w:eastAsia="zh-CN"/>
              </w:rPr>
              <w:t>数字江门网络建设有限公司园区系统建设项目</w:t>
            </w:r>
          </w:p>
        </w:tc>
      </w:tr>
      <w:tr w14:paraId="41036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vAlign w:val="center"/>
          </w:tcPr>
          <w:p w14:paraId="1EB6D957">
            <w:pPr>
              <w:jc w:val="center"/>
              <w:rPr>
                <w:rFonts w:ascii="宋体" w:hAnsi="宋体" w:cs="宋体"/>
                <w:spacing w:val="8"/>
                <w:kern w:val="24"/>
                <w:szCs w:val="21"/>
              </w:rPr>
            </w:pPr>
            <w:r>
              <w:rPr>
                <w:rFonts w:hint="eastAsia" w:ascii="宋体" w:hAnsi="宋体" w:cs="宋体"/>
                <w:spacing w:val="8"/>
                <w:kern w:val="24"/>
                <w:szCs w:val="21"/>
              </w:rPr>
              <w:t>2</w:t>
            </w:r>
          </w:p>
        </w:tc>
        <w:tc>
          <w:tcPr>
            <w:tcW w:w="2551" w:type="dxa"/>
            <w:vAlign w:val="center"/>
          </w:tcPr>
          <w:p w14:paraId="6038FBA5">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6285" w:type="dxa"/>
            <w:vAlign w:val="center"/>
          </w:tcPr>
          <w:p w14:paraId="53478813">
            <w:pPr>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highlight w:val="none"/>
              </w:rPr>
              <w:t>2025年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日17：30前</w:t>
            </w:r>
            <w:r>
              <w:rPr>
                <w:rFonts w:hint="eastAsia" w:ascii="宋体" w:hAnsi="宋体" w:cs="宋体"/>
                <w:color w:val="000000"/>
                <w:szCs w:val="21"/>
              </w:rPr>
              <w:t>以盖章扫描件及WORD文档的形式提交至（发送至数字江门网络建设有限公司邮箱：</w:t>
            </w:r>
            <w:r>
              <w:rPr>
                <w:rFonts w:hint="eastAsia" w:ascii="宋体" w:hAnsi="宋体" w:cs="宋体"/>
                <w:color w:val="000000"/>
                <w:szCs w:val="24"/>
                <w:highlight w:val="none"/>
              </w:rPr>
              <w:t>shuzijiangmen2018@szjmltd.com</w:t>
            </w:r>
            <w:r>
              <w:rPr>
                <w:rFonts w:hint="eastAsia" w:ascii="宋体" w:hAnsi="宋体" w:cs="宋体"/>
                <w:color w:val="000000"/>
                <w:szCs w:val="21"/>
              </w:rPr>
              <w:t>），发送后请告知本项目负责人。</w:t>
            </w:r>
          </w:p>
        </w:tc>
      </w:tr>
      <w:tr w14:paraId="1B0972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568" w:type="dxa"/>
            <w:vAlign w:val="center"/>
          </w:tcPr>
          <w:p w14:paraId="1D7680F5">
            <w:pPr>
              <w:jc w:val="center"/>
              <w:rPr>
                <w:rFonts w:ascii="宋体" w:hAnsi="宋体" w:cs="宋体"/>
                <w:spacing w:val="8"/>
                <w:kern w:val="24"/>
                <w:szCs w:val="21"/>
              </w:rPr>
            </w:pPr>
            <w:r>
              <w:rPr>
                <w:rFonts w:hint="eastAsia" w:ascii="宋体" w:hAnsi="宋体" w:cs="宋体"/>
                <w:spacing w:val="8"/>
                <w:kern w:val="24"/>
                <w:szCs w:val="21"/>
              </w:rPr>
              <w:t>3</w:t>
            </w:r>
          </w:p>
        </w:tc>
        <w:tc>
          <w:tcPr>
            <w:tcW w:w="2551" w:type="dxa"/>
            <w:vAlign w:val="center"/>
          </w:tcPr>
          <w:p w14:paraId="5B186F71">
            <w:pPr>
              <w:jc w:val="center"/>
              <w:rPr>
                <w:rFonts w:ascii="宋体" w:hAnsi="宋体" w:cs="宋体"/>
                <w:spacing w:val="8"/>
                <w:kern w:val="24"/>
                <w:szCs w:val="21"/>
              </w:rPr>
            </w:pPr>
            <w:r>
              <w:rPr>
                <w:rFonts w:hint="eastAsia" w:ascii="宋体" w:hAnsi="宋体" w:cs="宋体"/>
                <w:spacing w:val="8"/>
                <w:kern w:val="24"/>
                <w:szCs w:val="21"/>
              </w:rPr>
              <w:t>报价说明</w:t>
            </w:r>
          </w:p>
        </w:tc>
        <w:tc>
          <w:tcPr>
            <w:tcW w:w="6285" w:type="dxa"/>
            <w:vAlign w:val="center"/>
          </w:tcPr>
          <w:p w14:paraId="6400ECC5">
            <w:pPr>
              <w:rPr>
                <w:rFonts w:ascii="宋体" w:hAnsi="宋体" w:cs="宋体"/>
                <w:b/>
                <w:szCs w:val="21"/>
              </w:rPr>
            </w:pPr>
            <w:r>
              <w:rPr>
                <w:rFonts w:hint="eastAsia" w:ascii="宋体" w:hAnsi="宋体" w:cs="宋体"/>
                <w:b/>
                <w:szCs w:val="21"/>
              </w:rPr>
              <w:t>本项目设有最高限价，供应商报价超出最高限价作否决应答处理。</w:t>
            </w:r>
          </w:p>
          <w:p w14:paraId="17D52902">
            <w:pPr>
              <w:rPr>
                <w:rFonts w:ascii="宋体" w:hAnsi="宋体" w:cs="宋体"/>
                <w:b/>
              </w:rPr>
            </w:pPr>
            <w:bookmarkStart w:id="6"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6"/>
            <w:r>
              <w:rPr>
                <w:rFonts w:hint="eastAsia" w:ascii="宋体" w:hAnsi="宋体" w:cs="宋体"/>
                <w:b/>
                <w:bCs/>
                <w:kern w:val="0"/>
                <w:szCs w:val="21"/>
              </w:rPr>
              <w:t>。</w:t>
            </w:r>
            <w:r>
              <w:rPr>
                <w:rFonts w:hint="eastAsia" w:ascii="宋体" w:hAnsi="宋体" w:cs="宋体"/>
                <w:b/>
                <w:szCs w:val="21"/>
              </w:rPr>
              <w:t>采购人不再支付任何其他费用。</w:t>
            </w:r>
          </w:p>
          <w:p w14:paraId="27EB71CE">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77B95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vAlign w:val="center"/>
          </w:tcPr>
          <w:p w14:paraId="217C7203">
            <w:pPr>
              <w:jc w:val="center"/>
              <w:rPr>
                <w:rFonts w:ascii="宋体" w:hAnsi="宋体" w:cs="宋体"/>
                <w:spacing w:val="8"/>
                <w:kern w:val="24"/>
                <w:szCs w:val="21"/>
              </w:rPr>
            </w:pPr>
            <w:r>
              <w:rPr>
                <w:rFonts w:hint="eastAsia" w:ascii="宋体" w:hAnsi="宋体" w:cs="宋体"/>
                <w:spacing w:val="8"/>
                <w:kern w:val="24"/>
                <w:szCs w:val="21"/>
              </w:rPr>
              <w:t>4</w:t>
            </w:r>
          </w:p>
        </w:tc>
        <w:tc>
          <w:tcPr>
            <w:tcW w:w="2551" w:type="dxa"/>
            <w:vAlign w:val="center"/>
          </w:tcPr>
          <w:p w14:paraId="62B2FC27">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6285" w:type="dxa"/>
            <w:vAlign w:val="center"/>
          </w:tcPr>
          <w:p w14:paraId="73B0221C">
            <w:pPr>
              <w:rPr>
                <w:rFonts w:ascii="宋体" w:hAnsi="宋体" w:cs="宋体"/>
                <w:color w:val="000000"/>
              </w:rPr>
            </w:pPr>
            <w:r>
              <w:rPr>
                <w:rFonts w:hint="eastAsia" w:ascii="宋体" w:hAnsi="宋体" w:cs="宋体"/>
                <w:color w:val="000000"/>
              </w:rPr>
              <w:t>90天。</w:t>
            </w:r>
          </w:p>
        </w:tc>
      </w:tr>
      <w:tr w14:paraId="34E72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vAlign w:val="center"/>
          </w:tcPr>
          <w:p w14:paraId="5895C2CA">
            <w:pPr>
              <w:jc w:val="center"/>
              <w:rPr>
                <w:rFonts w:ascii="宋体" w:hAnsi="宋体" w:cs="宋体"/>
                <w:spacing w:val="8"/>
                <w:kern w:val="24"/>
                <w:szCs w:val="21"/>
              </w:rPr>
            </w:pPr>
            <w:r>
              <w:rPr>
                <w:rFonts w:hint="eastAsia" w:ascii="宋体" w:hAnsi="宋体" w:cs="宋体"/>
                <w:spacing w:val="8"/>
                <w:kern w:val="24"/>
                <w:szCs w:val="21"/>
              </w:rPr>
              <w:t>5</w:t>
            </w:r>
          </w:p>
        </w:tc>
        <w:tc>
          <w:tcPr>
            <w:tcW w:w="2551" w:type="dxa"/>
            <w:vAlign w:val="center"/>
          </w:tcPr>
          <w:p w14:paraId="757A870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6285" w:type="dxa"/>
            <w:vAlign w:val="center"/>
          </w:tcPr>
          <w:p w14:paraId="7B274888">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1E75CA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551" w:hRule="exact"/>
        </w:trPr>
        <w:tc>
          <w:tcPr>
            <w:tcW w:w="568" w:type="dxa"/>
            <w:vAlign w:val="center"/>
          </w:tcPr>
          <w:p w14:paraId="031346DD">
            <w:pPr>
              <w:jc w:val="center"/>
              <w:rPr>
                <w:rFonts w:ascii="宋体" w:hAnsi="宋体" w:cs="宋体"/>
                <w:spacing w:val="8"/>
                <w:kern w:val="24"/>
                <w:szCs w:val="21"/>
              </w:rPr>
            </w:pPr>
            <w:r>
              <w:rPr>
                <w:rFonts w:hint="eastAsia" w:ascii="宋体" w:hAnsi="宋体" w:cs="宋体"/>
                <w:spacing w:val="8"/>
                <w:kern w:val="24"/>
                <w:szCs w:val="21"/>
              </w:rPr>
              <w:t>6</w:t>
            </w:r>
          </w:p>
        </w:tc>
        <w:tc>
          <w:tcPr>
            <w:tcW w:w="2551" w:type="dxa"/>
            <w:vAlign w:val="center"/>
          </w:tcPr>
          <w:p w14:paraId="1F5D5471">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6285" w:type="dxa"/>
            <w:vAlign w:val="center"/>
          </w:tcPr>
          <w:p w14:paraId="0A652BAF">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20FDF2C9">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374E7675">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4DDFB33A">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0028E383">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783BAA6A">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6EA0A0B0">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798538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vAlign w:val="center"/>
          </w:tcPr>
          <w:p w14:paraId="4CE9317E">
            <w:pPr>
              <w:jc w:val="center"/>
              <w:rPr>
                <w:rFonts w:ascii="宋体" w:hAnsi="宋体" w:cs="宋体"/>
                <w:spacing w:val="8"/>
                <w:kern w:val="24"/>
                <w:szCs w:val="21"/>
              </w:rPr>
            </w:pPr>
            <w:r>
              <w:rPr>
                <w:rFonts w:hint="eastAsia" w:ascii="宋体" w:hAnsi="宋体" w:cs="宋体"/>
                <w:spacing w:val="8"/>
                <w:kern w:val="24"/>
                <w:szCs w:val="21"/>
              </w:rPr>
              <w:t>7</w:t>
            </w:r>
          </w:p>
        </w:tc>
        <w:tc>
          <w:tcPr>
            <w:tcW w:w="2551" w:type="dxa"/>
            <w:vAlign w:val="center"/>
          </w:tcPr>
          <w:p w14:paraId="03A592C9">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6285" w:type="dxa"/>
            <w:vAlign w:val="center"/>
          </w:tcPr>
          <w:p w14:paraId="3D8096A4">
            <w:pPr>
              <w:rPr>
                <w:rFonts w:hint="eastAsia" w:ascii="宋体" w:hAnsi="宋体" w:eastAsia="宋体" w:cs="宋体"/>
                <w:szCs w:val="24"/>
                <w:u w:val="single"/>
                <w:lang w:eastAsia="zh-CN"/>
              </w:rPr>
            </w:pPr>
            <w:r>
              <w:rPr>
                <w:rFonts w:hint="eastAsia" w:ascii="宋体" w:hAnsi="宋体" w:cs="宋体"/>
                <w:color w:val="000000"/>
                <w:szCs w:val="21"/>
              </w:rPr>
              <w:t>项目名称：</w:t>
            </w:r>
            <w:r>
              <w:rPr>
                <w:rFonts w:hint="eastAsia" w:ascii="宋体" w:hAnsi="宋体" w:cs="宋体"/>
                <w:szCs w:val="24"/>
                <w:lang w:eastAsia="zh-CN"/>
              </w:rPr>
              <w:t>数字江门网络建设有限公司园区系统建设项目</w:t>
            </w:r>
          </w:p>
          <w:p w14:paraId="56FDD0FA">
            <w:pPr>
              <w:rPr>
                <w:rFonts w:ascii="宋体" w:hAnsi="宋体" w:cs="宋体"/>
                <w:i/>
                <w:color w:val="000000"/>
                <w:szCs w:val="21"/>
              </w:rPr>
            </w:pPr>
            <w:r>
              <w:rPr>
                <w:rFonts w:hint="eastAsia" w:ascii="宋体" w:hAnsi="宋体" w:cs="宋体"/>
                <w:color w:val="000000"/>
                <w:szCs w:val="21"/>
              </w:rPr>
              <w:t>采购人名称：数字江门网络建设有限公司</w:t>
            </w:r>
          </w:p>
          <w:p w14:paraId="29394086">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(盖公章)</w:t>
            </w:r>
          </w:p>
          <w:p w14:paraId="2DBFFBF7">
            <w:pPr>
              <w:rPr>
                <w:rFonts w:ascii="宋体" w:hAnsi="宋体" w:cs="宋体"/>
                <w:szCs w:val="21"/>
              </w:rPr>
            </w:pPr>
            <w:r>
              <w:rPr>
                <w:rFonts w:hint="eastAsia" w:ascii="宋体" w:hAnsi="宋体" w:cs="宋体"/>
                <w:color w:val="000000"/>
                <w:szCs w:val="21"/>
              </w:rPr>
              <w:t>响应文件</w:t>
            </w:r>
            <w:r>
              <w:rPr>
                <w:rFonts w:hint="eastAsia" w:ascii="宋体" w:hAnsi="宋体" w:cs="宋体"/>
                <w:color w:val="000000"/>
                <w:szCs w:val="21"/>
                <w:highlight w:val="none"/>
              </w:rPr>
              <w:t>在</w:t>
            </w:r>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日9时30分</w:t>
            </w:r>
            <w:r>
              <w:rPr>
                <w:rFonts w:hint="eastAsia" w:ascii="宋体" w:hAnsi="宋体" w:cs="宋体"/>
                <w:color w:val="000000"/>
                <w:szCs w:val="21"/>
                <w:highlight w:val="none"/>
              </w:rPr>
              <w:t>前不</w:t>
            </w:r>
            <w:r>
              <w:rPr>
                <w:rFonts w:hint="eastAsia" w:ascii="宋体" w:hAnsi="宋体" w:cs="宋体"/>
                <w:color w:val="000000"/>
                <w:szCs w:val="21"/>
              </w:rPr>
              <w:t>得开启</w:t>
            </w:r>
          </w:p>
        </w:tc>
      </w:tr>
      <w:tr w14:paraId="5C91B0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vAlign w:val="center"/>
          </w:tcPr>
          <w:p w14:paraId="6798542B">
            <w:pPr>
              <w:jc w:val="center"/>
              <w:rPr>
                <w:rFonts w:ascii="宋体" w:hAnsi="宋体" w:cs="宋体"/>
                <w:spacing w:val="8"/>
                <w:kern w:val="24"/>
                <w:szCs w:val="21"/>
              </w:rPr>
            </w:pPr>
            <w:r>
              <w:rPr>
                <w:rFonts w:hint="eastAsia" w:ascii="宋体" w:hAnsi="宋体" w:cs="宋体"/>
                <w:spacing w:val="8"/>
                <w:kern w:val="24"/>
                <w:szCs w:val="21"/>
              </w:rPr>
              <w:t>8</w:t>
            </w:r>
          </w:p>
        </w:tc>
        <w:tc>
          <w:tcPr>
            <w:tcW w:w="2551" w:type="dxa"/>
            <w:vAlign w:val="center"/>
          </w:tcPr>
          <w:p w14:paraId="1228FAA3">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6285" w:type="dxa"/>
            <w:vAlign w:val="center"/>
          </w:tcPr>
          <w:p w14:paraId="7ED1FD42">
            <w:pPr>
              <w:rPr>
                <w:rFonts w:ascii="宋体" w:hAnsi="宋体" w:cs="宋体"/>
                <w:spacing w:val="8"/>
                <w:kern w:val="24"/>
                <w:szCs w:val="21"/>
              </w:rPr>
            </w:pPr>
            <w:r>
              <w:rPr>
                <w:rFonts w:hint="eastAsia" w:ascii="宋体" w:hAnsi="宋体" w:cs="宋体"/>
                <w:spacing w:val="8"/>
                <w:kern w:val="24"/>
                <w:szCs w:val="21"/>
              </w:rPr>
              <w:t>详见比选公告</w:t>
            </w:r>
          </w:p>
        </w:tc>
      </w:tr>
      <w:tr w14:paraId="25158A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vAlign w:val="center"/>
          </w:tcPr>
          <w:p w14:paraId="5829EADB">
            <w:pPr>
              <w:jc w:val="center"/>
              <w:rPr>
                <w:rFonts w:ascii="宋体" w:hAnsi="宋体" w:cs="宋体"/>
                <w:spacing w:val="8"/>
                <w:kern w:val="24"/>
                <w:szCs w:val="21"/>
              </w:rPr>
            </w:pPr>
            <w:r>
              <w:rPr>
                <w:rFonts w:hint="eastAsia" w:ascii="宋体" w:hAnsi="宋体" w:cs="宋体"/>
                <w:spacing w:val="8"/>
                <w:kern w:val="24"/>
                <w:szCs w:val="21"/>
              </w:rPr>
              <w:t>9</w:t>
            </w:r>
          </w:p>
        </w:tc>
        <w:tc>
          <w:tcPr>
            <w:tcW w:w="2551" w:type="dxa"/>
            <w:vAlign w:val="center"/>
          </w:tcPr>
          <w:p w14:paraId="5A89022D">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6285" w:type="dxa"/>
            <w:vAlign w:val="center"/>
          </w:tcPr>
          <w:p w14:paraId="26CFE41E">
            <w:pPr>
              <w:rPr>
                <w:rFonts w:ascii="宋体" w:hAnsi="宋体" w:cs="宋体"/>
                <w:spacing w:val="8"/>
                <w:kern w:val="24"/>
                <w:szCs w:val="21"/>
              </w:rPr>
            </w:pPr>
            <w:r>
              <w:rPr>
                <w:rFonts w:hint="eastAsia" w:ascii="宋体" w:hAnsi="宋体" w:cs="宋体"/>
                <w:spacing w:val="8"/>
                <w:kern w:val="24"/>
                <w:szCs w:val="21"/>
              </w:rPr>
              <w:t>详见比选公告</w:t>
            </w:r>
          </w:p>
        </w:tc>
      </w:tr>
      <w:tr w14:paraId="5C56C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vAlign w:val="center"/>
          </w:tcPr>
          <w:p w14:paraId="47669965">
            <w:pPr>
              <w:jc w:val="center"/>
              <w:rPr>
                <w:rFonts w:ascii="宋体" w:hAnsi="宋体" w:cs="宋体"/>
                <w:spacing w:val="8"/>
                <w:kern w:val="24"/>
                <w:szCs w:val="21"/>
              </w:rPr>
            </w:pPr>
            <w:r>
              <w:rPr>
                <w:rFonts w:hint="eastAsia" w:ascii="宋体" w:hAnsi="宋体" w:cs="宋体"/>
                <w:spacing w:val="8"/>
                <w:kern w:val="24"/>
                <w:szCs w:val="21"/>
              </w:rPr>
              <w:t>10</w:t>
            </w:r>
          </w:p>
        </w:tc>
        <w:tc>
          <w:tcPr>
            <w:tcW w:w="2551" w:type="dxa"/>
            <w:vAlign w:val="center"/>
          </w:tcPr>
          <w:p w14:paraId="3F680DFF">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6285" w:type="dxa"/>
            <w:vAlign w:val="center"/>
          </w:tcPr>
          <w:p w14:paraId="5CAF6185">
            <w:pPr>
              <w:rPr>
                <w:rFonts w:ascii="宋体" w:hAnsi="宋体" w:cs="宋体"/>
                <w:spacing w:val="8"/>
                <w:kern w:val="24"/>
                <w:szCs w:val="21"/>
              </w:rPr>
            </w:pPr>
            <w:r>
              <w:rPr>
                <w:rFonts w:hint="eastAsia" w:ascii="宋体" w:hAnsi="宋体" w:cs="宋体"/>
                <w:spacing w:val="8"/>
                <w:kern w:val="24"/>
                <w:szCs w:val="21"/>
              </w:rPr>
              <w:t>响应时间：（同截止时间）</w:t>
            </w:r>
          </w:p>
          <w:p w14:paraId="2DD39108">
            <w:pPr>
              <w:rPr>
                <w:rFonts w:ascii="宋体" w:hAnsi="宋体" w:cs="宋体"/>
                <w:spacing w:val="8"/>
                <w:kern w:val="24"/>
                <w:szCs w:val="21"/>
              </w:rPr>
            </w:pPr>
            <w:r>
              <w:rPr>
                <w:rFonts w:hint="eastAsia" w:ascii="宋体" w:hAnsi="宋体" w:cs="宋体"/>
                <w:spacing w:val="8"/>
                <w:kern w:val="24"/>
                <w:szCs w:val="21"/>
              </w:rPr>
              <w:t>响应地点：(同递交响应文件地点)</w:t>
            </w:r>
          </w:p>
        </w:tc>
      </w:tr>
      <w:tr w14:paraId="629C93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vAlign w:val="center"/>
          </w:tcPr>
          <w:p w14:paraId="56C8D0BF">
            <w:pPr>
              <w:jc w:val="center"/>
              <w:rPr>
                <w:rFonts w:ascii="宋体" w:hAnsi="宋体" w:cs="宋体"/>
                <w:spacing w:val="8"/>
                <w:kern w:val="24"/>
                <w:szCs w:val="21"/>
              </w:rPr>
            </w:pPr>
            <w:r>
              <w:rPr>
                <w:rFonts w:hint="eastAsia" w:ascii="宋体" w:hAnsi="宋体" w:cs="宋体"/>
                <w:spacing w:val="8"/>
                <w:kern w:val="24"/>
                <w:szCs w:val="21"/>
              </w:rPr>
              <w:t>11</w:t>
            </w:r>
          </w:p>
        </w:tc>
        <w:tc>
          <w:tcPr>
            <w:tcW w:w="2551" w:type="dxa"/>
            <w:vAlign w:val="center"/>
          </w:tcPr>
          <w:p w14:paraId="57487B0B">
            <w:pPr>
              <w:jc w:val="center"/>
              <w:rPr>
                <w:rFonts w:ascii="宋体" w:hAnsi="宋体" w:cs="宋体"/>
                <w:spacing w:val="8"/>
                <w:kern w:val="24"/>
                <w:szCs w:val="21"/>
              </w:rPr>
            </w:pPr>
            <w:r>
              <w:rPr>
                <w:rFonts w:hint="eastAsia" w:ascii="宋体" w:hAnsi="宋体" w:cs="宋体"/>
                <w:spacing w:val="8"/>
                <w:kern w:val="24"/>
                <w:szCs w:val="21"/>
              </w:rPr>
              <w:t>偏离</w:t>
            </w:r>
          </w:p>
        </w:tc>
        <w:tc>
          <w:tcPr>
            <w:tcW w:w="6285" w:type="dxa"/>
            <w:vAlign w:val="center"/>
          </w:tcPr>
          <w:p w14:paraId="56E8FF9B">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30E76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vAlign w:val="center"/>
          </w:tcPr>
          <w:p w14:paraId="3A6A4168">
            <w:pPr>
              <w:jc w:val="center"/>
              <w:rPr>
                <w:rFonts w:ascii="宋体" w:hAnsi="宋体" w:cs="宋体"/>
                <w:spacing w:val="8"/>
                <w:kern w:val="24"/>
                <w:szCs w:val="21"/>
              </w:rPr>
            </w:pPr>
            <w:r>
              <w:rPr>
                <w:rFonts w:hint="eastAsia" w:ascii="宋体" w:hAnsi="宋体" w:cs="宋体"/>
                <w:spacing w:val="8"/>
                <w:kern w:val="24"/>
                <w:szCs w:val="21"/>
              </w:rPr>
              <w:t>12</w:t>
            </w:r>
          </w:p>
        </w:tc>
        <w:tc>
          <w:tcPr>
            <w:tcW w:w="2551" w:type="dxa"/>
            <w:vAlign w:val="center"/>
          </w:tcPr>
          <w:p w14:paraId="3C5E9C14">
            <w:pPr>
              <w:jc w:val="center"/>
              <w:rPr>
                <w:rFonts w:ascii="宋体" w:hAnsi="宋体" w:cs="宋体"/>
                <w:spacing w:val="8"/>
                <w:kern w:val="24"/>
                <w:szCs w:val="21"/>
              </w:rPr>
            </w:pPr>
            <w:r>
              <w:rPr>
                <w:rFonts w:hint="eastAsia" w:ascii="宋体" w:hAnsi="宋体" w:cs="宋体"/>
                <w:spacing w:val="8"/>
                <w:kern w:val="24"/>
                <w:szCs w:val="21"/>
              </w:rPr>
              <w:t>中选原则</w:t>
            </w:r>
          </w:p>
        </w:tc>
        <w:tc>
          <w:tcPr>
            <w:tcW w:w="6285" w:type="dxa"/>
            <w:vAlign w:val="center"/>
          </w:tcPr>
          <w:p w14:paraId="74B4AA6C">
            <w:pPr>
              <w:rPr>
                <w:rFonts w:ascii="宋体" w:hAnsi="宋体" w:cs="宋体"/>
                <w:spacing w:val="8"/>
                <w:kern w:val="24"/>
                <w:szCs w:val="21"/>
              </w:rPr>
            </w:pPr>
            <w:r>
              <w:rPr>
                <w:rFonts w:hint="eastAsia" w:ascii="宋体" w:hAnsi="宋体" w:cs="宋体"/>
                <w:spacing w:val="8"/>
                <w:kern w:val="24"/>
                <w:szCs w:val="21"/>
              </w:rPr>
              <w:t>采用评审最低价法，推选评审价最低的供应商为本项目第一成交候选人。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3C644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vAlign w:val="center"/>
          </w:tcPr>
          <w:p w14:paraId="36FFB896">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2551" w:type="dxa"/>
            <w:vAlign w:val="center"/>
          </w:tcPr>
          <w:p w14:paraId="1E751ABF">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6285" w:type="dxa"/>
            <w:vAlign w:val="center"/>
          </w:tcPr>
          <w:p w14:paraId="34C5BC2E">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3021C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vAlign w:val="center"/>
          </w:tcPr>
          <w:p w14:paraId="6BC18A32">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2551" w:type="dxa"/>
            <w:vAlign w:val="center"/>
          </w:tcPr>
          <w:p w14:paraId="3D2ABECB">
            <w:pPr>
              <w:jc w:val="center"/>
              <w:rPr>
                <w:rFonts w:ascii="宋体" w:hAnsi="宋体" w:cs="宋体"/>
                <w:szCs w:val="21"/>
              </w:rPr>
            </w:pPr>
            <w:r>
              <w:rPr>
                <w:rFonts w:hint="eastAsia" w:ascii="宋体" w:hAnsi="宋体" w:cs="宋体"/>
                <w:szCs w:val="21"/>
              </w:rPr>
              <w:t>重要提醒</w:t>
            </w:r>
          </w:p>
        </w:tc>
        <w:tc>
          <w:tcPr>
            <w:tcW w:w="6285" w:type="dxa"/>
            <w:vAlign w:val="center"/>
          </w:tcPr>
          <w:p w14:paraId="59C82D91">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564DB904">
      <w:bookmarkStart w:id="7" w:name="_Toc357696407"/>
      <w:r>
        <w:rPr>
          <w:rFonts w:hint="eastAsia"/>
        </w:rPr>
        <w:br w:type="page"/>
      </w:r>
    </w:p>
    <w:p w14:paraId="00404679">
      <w:pPr>
        <w:pStyle w:val="2"/>
        <w:jc w:val="center"/>
        <w:rPr>
          <w:rFonts w:ascii="宋体" w:hAnsi="宋体" w:cs="宋体"/>
          <w:sz w:val="32"/>
          <w:szCs w:val="32"/>
        </w:rPr>
      </w:pPr>
      <w:bookmarkStart w:id="8" w:name="_Toc20381"/>
      <w:bookmarkStart w:id="9" w:name="_Toc10206"/>
      <w:r>
        <w:rPr>
          <w:rFonts w:hint="eastAsia" w:ascii="宋体" w:hAnsi="宋体" w:cs="宋体"/>
          <w:sz w:val="32"/>
          <w:szCs w:val="32"/>
        </w:rPr>
        <w:t>第三章 比选流程及评审方法</w:t>
      </w:r>
      <w:bookmarkEnd w:id="7"/>
      <w:bookmarkEnd w:id="8"/>
      <w:bookmarkEnd w:id="9"/>
    </w:p>
    <w:p w14:paraId="695A959F">
      <w:pPr>
        <w:spacing w:line="420" w:lineRule="exact"/>
        <w:ind w:firstLine="420" w:firstLineChars="200"/>
        <w:rPr>
          <w:rFonts w:ascii="宋体" w:hAnsi="宋体" w:cs="宋体"/>
        </w:rPr>
      </w:pPr>
      <w:r>
        <w:rPr>
          <w:rFonts w:hint="eastAsia" w:ascii="宋体" w:hAnsi="宋体" w:cs="宋体"/>
        </w:rPr>
        <w:t>比选整个过程按包括：符合性评审；详细评审；响应文件的澄清（如有）；成交候选人推荐及出具评审结果报告。</w:t>
      </w:r>
    </w:p>
    <w:p w14:paraId="41517BDE">
      <w:pPr>
        <w:widowControl/>
        <w:spacing w:line="380" w:lineRule="exact"/>
        <w:jc w:val="center"/>
        <w:rPr>
          <w:rFonts w:ascii="宋体" w:hAnsi="宋体" w:cs="宋体"/>
          <w:b/>
        </w:rPr>
      </w:pPr>
    </w:p>
    <w:p w14:paraId="36614906">
      <w:pPr>
        <w:widowControl/>
        <w:spacing w:line="380" w:lineRule="exact"/>
        <w:jc w:val="left"/>
        <w:rPr>
          <w:rFonts w:ascii="宋体" w:hAnsi="宋体" w:cs="宋体"/>
          <w:b/>
          <w:kern w:val="0"/>
          <w:sz w:val="24"/>
          <w:szCs w:val="24"/>
        </w:rPr>
      </w:pPr>
      <w:r>
        <w:rPr>
          <w:rFonts w:hint="eastAsia" w:ascii="宋体" w:hAnsi="宋体" w:cs="宋体"/>
          <w:b/>
          <w:kern w:val="0"/>
          <w:sz w:val="24"/>
          <w:szCs w:val="24"/>
        </w:rPr>
        <w:t>评审标准如下：</w:t>
      </w:r>
    </w:p>
    <w:p w14:paraId="61E6688E">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54DBCCD6">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5234E696">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32F9D61A">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2413" w:type="dxa"/>
            <w:tcBorders>
              <w:top w:val="single" w:color="auto" w:sz="4" w:space="0"/>
              <w:left w:val="nil"/>
              <w:bottom w:val="single" w:color="auto" w:sz="4" w:space="0"/>
              <w:right w:val="single" w:color="auto" w:sz="4" w:space="0"/>
            </w:tcBorders>
            <w:vAlign w:val="center"/>
          </w:tcPr>
          <w:p w14:paraId="1FB147A6">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249" w:type="dxa"/>
            <w:tcBorders>
              <w:top w:val="single" w:color="auto" w:sz="4" w:space="0"/>
              <w:left w:val="nil"/>
              <w:bottom w:val="single" w:color="auto" w:sz="4" w:space="0"/>
              <w:right w:val="single" w:color="auto" w:sz="4" w:space="0"/>
            </w:tcBorders>
            <w:vAlign w:val="center"/>
          </w:tcPr>
          <w:p w14:paraId="540F261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418" w:type="dxa"/>
            <w:tcBorders>
              <w:top w:val="single" w:color="auto" w:sz="4" w:space="0"/>
              <w:left w:val="nil"/>
              <w:bottom w:val="single" w:color="auto" w:sz="4" w:space="0"/>
              <w:right w:val="single" w:color="auto" w:sz="4" w:space="0"/>
            </w:tcBorders>
            <w:vAlign w:val="center"/>
          </w:tcPr>
          <w:p w14:paraId="68B8C25E">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6B79655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F50F56C">
            <w:pPr>
              <w:widowControl/>
              <w:spacing w:line="380" w:lineRule="exact"/>
              <w:jc w:val="center"/>
              <w:rPr>
                <w:rFonts w:ascii="宋体" w:hAnsi="宋体" w:cs="宋体"/>
                <w:kern w:val="0"/>
              </w:rPr>
            </w:pPr>
            <w:r>
              <w:rPr>
                <w:rFonts w:hint="eastAsia" w:ascii="宋体" w:hAnsi="宋体" w:cs="宋体"/>
                <w:kern w:val="0"/>
              </w:rPr>
              <w:t>1</w:t>
            </w:r>
          </w:p>
        </w:tc>
        <w:tc>
          <w:tcPr>
            <w:tcW w:w="2413" w:type="dxa"/>
            <w:tcBorders>
              <w:top w:val="single" w:color="auto" w:sz="4" w:space="0"/>
              <w:left w:val="nil"/>
              <w:bottom w:val="single" w:color="auto" w:sz="4" w:space="0"/>
              <w:right w:val="single" w:color="auto" w:sz="4" w:space="0"/>
            </w:tcBorders>
            <w:vAlign w:val="center"/>
          </w:tcPr>
          <w:p w14:paraId="22BDECF2">
            <w:pPr>
              <w:widowControl/>
              <w:jc w:val="center"/>
              <w:rPr>
                <w:rFonts w:ascii="宋体" w:hAnsi="宋体" w:cs="宋体"/>
                <w:kern w:val="0"/>
              </w:rPr>
            </w:pPr>
            <w:r>
              <w:rPr>
                <w:rFonts w:hint="eastAsia" w:ascii="宋体" w:hAnsi="宋体" w:cs="宋体"/>
                <w:kern w:val="0"/>
              </w:rPr>
              <w:t>法人代表证明书、法人授权委托书</w:t>
            </w:r>
          </w:p>
        </w:tc>
        <w:tc>
          <w:tcPr>
            <w:tcW w:w="4249" w:type="dxa"/>
            <w:tcBorders>
              <w:top w:val="single" w:color="auto" w:sz="4" w:space="0"/>
              <w:left w:val="nil"/>
              <w:bottom w:val="single" w:color="auto" w:sz="4" w:space="0"/>
              <w:right w:val="single" w:color="auto" w:sz="4" w:space="0"/>
            </w:tcBorders>
            <w:vAlign w:val="center"/>
          </w:tcPr>
          <w:p w14:paraId="43D01B86">
            <w:pPr>
              <w:widowControl/>
              <w:jc w:val="center"/>
              <w:rPr>
                <w:rFonts w:ascii="宋体" w:hAnsi="宋体" w:cs="宋体"/>
                <w:kern w:val="0"/>
              </w:rPr>
            </w:pPr>
            <w:r>
              <w:rPr>
                <w:rFonts w:hint="eastAsia" w:ascii="宋体" w:hAnsi="宋体" w:cs="宋体"/>
                <w:kern w:val="0"/>
              </w:rPr>
              <w:t>符合第六章“响应文件格式”要求</w:t>
            </w:r>
          </w:p>
        </w:tc>
        <w:tc>
          <w:tcPr>
            <w:tcW w:w="1418" w:type="dxa"/>
            <w:tcBorders>
              <w:top w:val="single" w:color="auto" w:sz="4" w:space="0"/>
              <w:left w:val="nil"/>
              <w:bottom w:val="single" w:color="auto" w:sz="4" w:space="0"/>
              <w:right w:val="single" w:color="auto" w:sz="4" w:space="0"/>
            </w:tcBorders>
            <w:vAlign w:val="center"/>
          </w:tcPr>
          <w:p w14:paraId="44CF3088">
            <w:pPr>
              <w:widowControl/>
              <w:jc w:val="center"/>
              <w:rPr>
                <w:rFonts w:ascii="宋体" w:hAnsi="宋体" w:cs="宋体"/>
                <w:kern w:val="0"/>
              </w:rPr>
            </w:pPr>
            <w:r>
              <w:rPr>
                <w:rFonts w:hint="eastAsia" w:ascii="宋体" w:hAnsi="宋体" w:cs="宋体"/>
                <w:kern w:val="0"/>
              </w:rPr>
              <w:t>符合/不符合</w:t>
            </w:r>
          </w:p>
        </w:tc>
      </w:tr>
      <w:tr w14:paraId="17A94C3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05B7633A">
            <w:pPr>
              <w:widowControl/>
              <w:spacing w:line="380" w:lineRule="exact"/>
              <w:jc w:val="center"/>
              <w:rPr>
                <w:rFonts w:ascii="宋体" w:hAnsi="宋体" w:cs="宋体"/>
                <w:kern w:val="0"/>
              </w:rPr>
            </w:pPr>
            <w:r>
              <w:rPr>
                <w:rFonts w:hint="eastAsia" w:ascii="宋体" w:hAnsi="宋体" w:cs="宋体"/>
                <w:kern w:val="0"/>
              </w:rPr>
              <w:t>2</w:t>
            </w:r>
          </w:p>
        </w:tc>
        <w:tc>
          <w:tcPr>
            <w:tcW w:w="2413" w:type="dxa"/>
            <w:tcBorders>
              <w:top w:val="single" w:color="auto" w:sz="4" w:space="0"/>
              <w:left w:val="nil"/>
              <w:bottom w:val="single" w:color="auto" w:sz="4" w:space="0"/>
              <w:right w:val="single" w:color="auto" w:sz="4" w:space="0"/>
            </w:tcBorders>
            <w:vAlign w:val="center"/>
          </w:tcPr>
          <w:p w14:paraId="702F1829">
            <w:pPr>
              <w:widowControl/>
              <w:jc w:val="center"/>
              <w:rPr>
                <w:rFonts w:ascii="宋体" w:hAnsi="宋体" w:cs="宋体"/>
                <w:kern w:val="0"/>
              </w:rPr>
            </w:pPr>
            <w:r>
              <w:rPr>
                <w:rFonts w:hint="eastAsia" w:ascii="宋体" w:hAnsi="宋体" w:cs="宋体"/>
                <w:kern w:val="0"/>
              </w:rPr>
              <w:t>响应函</w:t>
            </w:r>
          </w:p>
        </w:tc>
        <w:tc>
          <w:tcPr>
            <w:tcW w:w="4249" w:type="dxa"/>
            <w:tcBorders>
              <w:top w:val="single" w:color="auto" w:sz="4" w:space="0"/>
              <w:left w:val="nil"/>
              <w:bottom w:val="single" w:color="auto" w:sz="4" w:space="0"/>
              <w:right w:val="single" w:color="auto" w:sz="4" w:space="0"/>
            </w:tcBorders>
            <w:vAlign w:val="center"/>
          </w:tcPr>
          <w:p w14:paraId="4DBEB579">
            <w:pPr>
              <w:widowControl/>
              <w:jc w:val="center"/>
              <w:rPr>
                <w:rFonts w:ascii="宋体" w:hAnsi="宋体" w:cs="宋体"/>
                <w:kern w:val="0"/>
                <w:szCs w:val="21"/>
              </w:rPr>
            </w:pPr>
            <w:r>
              <w:rPr>
                <w:rFonts w:hint="eastAsia" w:ascii="宋体" w:hAnsi="宋体" w:cs="宋体"/>
                <w:kern w:val="0"/>
              </w:rPr>
              <w:t>提供响应函，符合第六章的要求</w:t>
            </w:r>
          </w:p>
        </w:tc>
        <w:tc>
          <w:tcPr>
            <w:tcW w:w="1418" w:type="dxa"/>
            <w:tcBorders>
              <w:top w:val="single" w:color="auto" w:sz="4" w:space="0"/>
              <w:left w:val="nil"/>
              <w:bottom w:val="single" w:color="auto" w:sz="4" w:space="0"/>
              <w:right w:val="single" w:color="auto" w:sz="4" w:space="0"/>
            </w:tcBorders>
            <w:vAlign w:val="center"/>
          </w:tcPr>
          <w:p w14:paraId="09DF6217">
            <w:pPr>
              <w:widowControl/>
              <w:jc w:val="center"/>
              <w:rPr>
                <w:rFonts w:ascii="宋体" w:hAnsi="宋体" w:cs="宋体"/>
                <w:kern w:val="0"/>
              </w:rPr>
            </w:pPr>
            <w:r>
              <w:rPr>
                <w:rFonts w:hint="eastAsia" w:ascii="宋体" w:hAnsi="宋体" w:cs="宋体"/>
                <w:kern w:val="0"/>
              </w:rPr>
              <w:t>符合/不符合</w:t>
            </w:r>
          </w:p>
        </w:tc>
      </w:tr>
      <w:tr w14:paraId="653B10A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0141A518">
            <w:pPr>
              <w:widowControl/>
              <w:spacing w:line="380" w:lineRule="exact"/>
              <w:jc w:val="center"/>
              <w:rPr>
                <w:rFonts w:ascii="宋体" w:hAnsi="宋体" w:cs="宋体"/>
                <w:kern w:val="0"/>
              </w:rPr>
            </w:pPr>
            <w:r>
              <w:rPr>
                <w:rFonts w:hint="eastAsia" w:ascii="宋体" w:hAnsi="宋体" w:cs="宋体"/>
                <w:kern w:val="0"/>
              </w:rPr>
              <w:t>3</w:t>
            </w:r>
          </w:p>
        </w:tc>
        <w:tc>
          <w:tcPr>
            <w:tcW w:w="2413" w:type="dxa"/>
            <w:tcBorders>
              <w:top w:val="single" w:color="auto" w:sz="4" w:space="0"/>
              <w:left w:val="nil"/>
              <w:bottom w:val="single" w:color="auto" w:sz="4" w:space="0"/>
              <w:right w:val="single" w:color="auto" w:sz="4" w:space="0"/>
            </w:tcBorders>
            <w:vAlign w:val="center"/>
          </w:tcPr>
          <w:p w14:paraId="5B0DEC68">
            <w:pPr>
              <w:widowControl/>
              <w:jc w:val="center"/>
              <w:rPr>
                <w:rFonts w:ascii="宋体" w:hAnsi="宋体" w:cs="宋体"/>
                <w:kern w:val="0"/>
              </w:rPr>
            </w:pPr>
            <w:r>
              <w:rPr>
                <w:rFonts w:hint="eastAsia" w:ascii="宋体" w:hAnsi="宋体" w:cs="宋体"/>
                <w:kern w:val="0"/>
                <w:highlight w:val="none"/>
              </w:rPr>
              <w:t>供应商资格要求</w:t>
            </w:r>
          </w:p>
        </w:tc>
        <w:tc>
          <w:tcPr>
            <w:tcW w:w="4249" w:type="dxa"/>
            <w:tcBorders>
              <w:top w:val="single" w:color="auto" w:sz="4" w:space="0"/>
              <w:left w:val="nil"/>
              <w:bottom w:val="single" w:color="auto" w:sz="4" w:space="0"/>
              <w:right w:val="single" w:color="auto" w:sz="4" w:space="0"/>
            </w:tcBorders>
            <w:vAlign w:val="center"/>
          </w:tcPr>
          <w:p w14:paraId="3A2A0BCB">
            <w:pPr>
              <w:spacing w:line="360" w:lineRule="exact"/>
              <w:jc w:val="left"/>
            </w:pPr>
            <w:r>
              <w:rPr>
                <w:rFonts w:hint="eastAsia"/>
              </w:rPr>
              <w:t>1.</w:t>
            </w:r>
            <w:r>
              <w:t>投标人应当具备</w:t>
            </w:r>
            <w:r>
              <w:rPr>
                <w:rFonts w:hint="eastAsia"/>
                <w:lang w:eastAsia="zh-CN"/>
              </w:rPr>
              <w:t>《中华人民共和国政府采购法》</w:t>
            </w:r>
            <w:r>
              <w:t>第二十二条规定的条件</w:t>
            </w:r>
            <w:r>
              <w:rPr>
                <w:rFonts w:hint="eastAsia"/>
              </w:rPr>
              <w:t>。</w:t>
            </w:r>
          </w:p>
          <w:p w14:paraId="7B9CBD72">
            <w:pPr>
              <w:spacing w:line="360" w:lineRule="exact"/>
              <w:jc w:val="left"/>
            </w:pPr>
            <w:r>
              <w:rPr>
                <w:rFonts w:hint="eastAsia"/>
              </w:rPr>
              <w:t>2.供应商应当是具有合法经营资格的法人或者其他组织，具有良好的信誉。</w:t>
            </w:r>
          </w:p>
          <w:p w14:paraId="6C32B356">
            <w:pPr>
              <w:spacing w:line="360" w:lineRule="exact"/>
              <w:jc w:val="left"/>
            </w:pPr>
            <w:r>
              <w:rPr>
                <w:rFonts w:hint="eastAsia"/>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68BC813">
            <w:pPr>
              <w:spacing w:line="360" w:lineRule="exact"/>
              <w:jc w:val="left"/>
            </w:pPr>
            <w:r>
              <w:rPr>
                <w:rFonts w:hint="eastAsia"/>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64F1B5D">
            <w:pPr>
              <w:spacing w:line="360" w:lineRule="exact"/>
              <w:jc w:val="left"/>
              <w:rPr>
                <w:rFonts w:hint="eastAsia"/>
              </w:rPr>
            </w:pPr>
            <w:r>
              <w:rPr>
                <w:rFonts w:hint="eastAsia"/>
              </w:rPr>
              <w:t>5.单位负责人为同一人或者存在直接控股、管理关系的不同供应商，不得参加同一合同项下的政府采购活动。</w:t>
            </w:r>
          </w:p>
          <w:p w14:paraId="6A0557E1">
            <w:pPr>
              <w:spacing w:line="360" w:lineRule="exact"/>
              <w:jc w:val="left"/>
              <w:rPr>
                <w:rFonts w:hint="eastAsia" w:eastAsia="宋体"/>
                <w:lang w:val="en-US" w:eastAsia="zh-CN"/>
              </w:rPr>
            </w:pPr>
            <w:bookmarkStart w:id="10" w:name="OLE_LINK1"/>
            <w:r>
              <w:rPr>
                <w:rFonts w:hint="eastAsia"/>
                <w:highlight w:val="none"/>
                <w:lang w:val="en-US" w:eastAsia="zh-CN"/>
              </w:rPr>
              <w:t>6.供应商提供相关产品</w:t>
            </w:r>
            <w:r>
              <w:rPr>
                <w:rFonts w:hint="eastAsia"/>
                <w:highlight w:val="none"/>
              </w:rPr>
              <w:t>制造厂商授权书</w:t>
            </w:r>
            <w:r>
              <w:rPr>
                <w:rFonts w:hint="eastAsia"/>
                <w:highlight w:val="none"/>
                <w:lang w:val="en-US" w:eastAsia="zh-CN"/>
              </w:rPr>
              <w:t>及</w:t>
            </w:r>
            <w:r>
              <w:rPr>
                <w:rFonts w:hint="eastAsia"/>
                <w:highlight w:val="none"/>
              </w:rPr>
              <w:t>产品售后服务承诺函</w:t>
            </w:r>
            <w:r>
              <w:rPr>
                <w:rFonts w:hint="eastAsia"/>
                <w:highlight w:val="none"/>
                <w:lang w:eastAsia="zh-CN"/>
              </w:rPr>
              <w:t>。</w:t>
            </w:r>
            <w:bookmarkEnd w:id="10"/>
          </w:p>
        </w:tc>
        <w:tc>
          <w:tcPr>
            <w:tcW w:w="1418" w:type="dxa"/>
            <w:tcBorders>
              <w:top w:val="single" w:color="auto" w:sz="4" w:space="0"/>
              <w:left w:val="nil"/>
              <w:bottom w:val="single" w:color="auto" w:sz="4" w:space="0"/>
              <w:right w:val="single" w:color="auto" w:sz="4" w:space="0"/>
            </w:tcBorders>
            <w:vAlign w:val="center"/>
          </w:tcPr>
          <w:p w14:paraId="11C7DEB3">
            <w:pPr>
              <w:widowControl/>
              <w:jc w:val="center"/>
              <w:rPr>
                <w:rFonts w:ascii="宋体" w:hAnsi="宋体" w:cs="宋体"/>
                <w:kern w:val="0"/>
              </w:rPr>
            </w:pPr>
            <w:r>
              <w:rPr>
                <w:rFonts w:hint="eastAsia" w:ascii="宋体" w:hAnsi="宋体" w:cs="宋体"/>
                <w:kern w:val="0"/>
              </w:rPr>
              <w:t>符合/不符合</w:t>
            </w:r>
          </w:p>
        </w:tc>
      </w:tr>
      <w:tr w14:paraId="1F6B84D7">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2E31830F">
            <w:pPr>
              <w:widowControl/>
              <w:spacing w:line="380" w:lineRule="exact"/>
              <w:jc w:val="center"/>
              <w:rPr>
                <w:rFonts w:ascii="宋体" w:hAnsi="宋体" w:cs="宋体"/>
                <w:kern w:val="0"/>
              </w:rPr>
            </w:pPr>
            <w:r>
              <w:rPr>
                <w:rFonts w:hint="eastAsia" w:ascii="宋体" w:hAnsi="宋体" w:cs="宋体"/>
                <w:kern w:val="0"/>
              </w:rPr>
              <w:t>4</w:t>
            </w:r>
          </w:p>
        </w:tc>
        <w:tc>
          <w:tcPr>
            <w:tcW w:w="2413" w:type="dxa"/>
            <w:tcBorders>
              <w:top w:val="single" w:color="auto" w:sz="4" w:space="0"/>
              <w:left w:val="nil"/>
              <w:bottom w:val="single" w:color="auto" w:sz="4" w:space="0"/>
              <w:right w:val="single" w:color="auto" w:sz="4" w:space="0"/>
            </w:tcBorders>
            <w:vAlign w:val="center"/>
          </w:tcPr>
          <w:p w14:paraId="055B6C6E">
            <w:pPr>
              <w:widowControl/>
              <w:jc w:val="center"/>
              <w:rPr>
                <w:rFonts w:ascii="宋体" w:hAnsi="宋体" w:cs="宋体"/>
                <w:kern w:val="0"/>
              </w:rPr>
            </w:pPr>
            <w:r>
              <w:rPr>
                <w:rFonts w:hint="eastAsia" w:ascii="宋体" w:hAnsi="宋体" w:cs="宋体"/>
                <w:szCs w:val="24"/>
              </w:rPr>
              <w:t>信誉要求</w:t>
            </w:r>
          </w:p>
        </w:tc>
        <w:tc>
          <w:tcPr>
            <w:tcW w:w="4249" w:type="dxa"/>
            <w:tcBorders>
              <w:top w:val="single" w:color="auto" w:sz="4" w:space="0"/>
              <w:left w:val="nil"/>
              <w:bottom w:val="single" w:color="auto" w:sz="4" w:space="0"/>
              <w:right w:val="single" w:color="auto" w:sz="4" w:space="0"/>
            </w:tcBorders>
            <w:vAlign w:val="center"/>
          </w:tcPr>
          <w:p w14:paraId="0D97CA71">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1418" w:type="dxa"/>
            <w:tcBorders>
              <w:top w:val="single" w:color="auto" w:sz="4" w:space="0"/>
              <w:left w:val="nil"/>
              <w:bottom w:val="single" w:color="auto" w:sz="4" w:space="0"/>
              <w:right w:val="single" w:color="auto" w:sz="4" w:space="0"/>
            </w:tcBorders>
            <w:vAlign w:val="center"/>
          </w:tcPr>
          <w:p w14:paraId="40675D56">
            <w:pPr>
              <w:widowControl/>
              <w:jc w:val="center"/>
              <w:rPr>
                <w:rFonts w:ascii="宋体" w:hAnsi="宋体" w:cs="宋体"/>
                <w:kern w:val="0"/>
              </w:rPr>
            </w:pPr>
            <w:r>
              <w:rPr>
                <w:rFonts w:hint="eastAsia" w:ascii="宋体" w:hAnsi="宋体" w:cs="宋体"/>
                <w:kern w:val="0"/>
              </w:rPr>
              <w:t>符合/不符合</w:t>
            </w:r>
          </w:p>
        </w:tc>
      </w:tr>
      <w:tr w14:paraId="32DBD295">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D921BDE">
            <w:pPr>
              <w:widowControl/>
              <w:spacing w:line="380" w:lineRule="exact"/>
              <w:jc w:val="center"/>
              <w:rPr>
                <w:rFonts w:ascii="宋体" w:hAnsi="宋体" w:cs="宋体"/>
                <w:kern w:val="0"/>
              </w:rPr>
            </w:pPr>
            <w:r>
              <w:rPr>
                <w:rFonts w:hint="eastAsia" w:ascii="宋体" w:hAnsi="宋体" w:cs="宋体"/>
                <w:kern w:val="0"/>
              </w:rPr>
              <w:t>5</w:t>
            </w:r>
          </w:p>
        </w:tc>
        <w:tc>
          <w:tcPr>
            <w:tcW w:w="2413" w:type="dxa"/>
            <w:tcBorders>
              <w:top w:val="single" w:color="auto" w:sz="4" w:space="0"/>
              <w:left w:val="nil"/>
              <w:bottom w:val="single" w:color="auto" w:sz="4" w:space="0"/>
              <w:right w:val="single" w:color="auto" w:sz="4" w:space="0"/>
            </w:tcBorders>
            <w:vAlign w:val="center"/>
          </w:tcPr>
          <w:p w14:paraId="59DADABD">
            <w:pPr>
              <w:widowControl/>
              <w:jc w:val="center"/>
              <w:rPr>
                <w:rFonts w:ascii="宋体" w:hAnsi="宋体" w:cs="宋体"/>
                <w:szCs w:val="24"/>
              </w:rPr>
            </w:pPr>
            <w:r>
              <w:rPr>
                <w:rFonts w:hint="eastAsia" w:ascii="宋体" w:hAnsi="宋体" w:cs="宋体"/>
                <w:szCs w:val="24"/>
              </w:rPr>
              <w:t>联合体</w:t>
            </w:r>
          </w:p>
        </w:tc>
        <w:tc>
          <w:tcPr>
            <w:tcW w:w="4249" w:type="dxa"/>
            <w:tcBorders>
              <w:top w:val="single" w:color="auto" w:sz="4" w:space="0"/>
              <w:left w:val="nil"/>
              <w:bottom w:val="single" w:color="auto" w:sz="4" w:space="0"/>
              <w:right w:val="single" w:color="auto" w:sz="4" w:space="0"/>
            </w:tcBorders>
            <w:vAlign w:val="center"/>
          </w:tcPr>
          <w:p w14:paraId="459FBBC8">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1418" w:type="dxa"/>
            <w:tcBorders>
              <w:top w:val="single" w:color="auto" w:sz="4" w:space="0"/>
              <w:left w:val="nil"/>
              <w:bottom w:val="single" w:color="auto" w:sz="4" w:space="0"/>
              <w:right w:val="single" w:color="auto" w:sz="4" w:space="0"/>
            </w:tcBorders>
            <w:vAlign w:val="center"/>
          </w:tcPr>
          <w:p w14:paraId="1803CD23">
            <w:pPr>
              <w:widowControl/>
              <w:jc w:val="center"/>
              <w:rPr>
                <w:rFonts w:ascii="宋体" w:hAnsi="宋体" w:cs="宋体"/>
                <w:kern w:val="0"/>
              </w:rPr>
            </w:pPr>
            <w:r>
              <w:rPr>
                <w:rFonts w:hint="eastAsia" w:ascii="宋体" w:hAnsi="宋体" w:cs="宋体"/>
                <w:kern w:val="0"/>
              </w:rPr>
              <w:t>符合/不符合</w:t>
            </w:r>
          </w:p>
        </w:tc>
      </w:tr>
      <w:tr w14:paraId="79B58F74">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vAlign w:val="center"/>
          </w:tcPr>
          <w:p w14:paraId="032A33A2">
            <w:pPr>
              <w:widowControl/>
              <w:spacing w:line="380" w:lineRule="exact"/>
              <w:jc w:val="center"/>
              <w:rPr>
                <w:rFonts w:ascii="宋体" w:hAnsi="宋体" w:cs="宋体"/>
                <w:kern w:val="0"/>
              </w:rPr>
            </w:pPr>
            <w:r>
              <w:rPr>
                <w:rFonts w:hint="eastAsia" w:ascii="宋体" w:hAnsi="宋体" w:cs="宋体"/>
                <w:kern w:val="0"/>
              </w:rPr>
              <w:t>6</w:t>
            </w:r>
          </w:p>
        </w:tc>
        <w:tc>
          <w:tcPr>
            <w:tcW w:w="2413" w:type="dxa"/>
            <w:tcBorders>
              <w:top w:val="single" w:color="auto" w:sz="4" w:space="0"/>
              <w:left w:val="nil"/>
              <w:bottom w:val="single" w:color="auto" w:sz="4" w:space="0"/>
              <w:right w:val="single" w:color="auto" w:sz="4" w:space="0"/>
            </w:tcBorders>
            <w:vAlign w:val="center"/>
          </w:tcPr>
          <w:p w14:paraId="7DA88BEB">
            <w:pPr>
              <w:widowControl/>
              <w:jc w:val="center"/>
              <w:rPr>
                <w:rFonts w:ascii="宋体" w:hAnsi="宋体" w:cs="宋体"/>
                <w:kern w:val="0"/>
              </w:rPr>
            </w:pPr>
            <w:r>
              <w:rPr>
                <w:rFonts w:hint="eastAsia" w:ascii="宋体" w:hAnsi="宋体" w:cs="宋体"/>
                <w:kern w:val="0"/>
              </w:rPr>
              <w:t>报价</w:t>
            </w:r>
          </w:p>
        </w:tc>
        <w:tc>
          <w:tcPr>
            <w:tcW w:w="4249" w:type="dxa"/>
            <w:tcBorders>
              <w:top w:val="single" w:color="auto" w:sz="4" w:space="0"/>
              <w:left w:val="nil"/>
              <w:bottom w:val="single" w:color="auto" w:sz="4" w:space="0"/>
              <w:right w:val="single" w:color="auto" w:sz="4" w:space="0"/>
            </w:tcBorders>
            <w:vAlign w:val="center"/>
          </w:tcPr>
          <w:p w14:paraId="3181FB8D">
            <w:pPr>
              <w:widowControl/>
              <w:jc w:val="left"/>
              <w:rPr>
                <w:rFonts w:ascii="宋体" w:hAnsi="宋体" w:cs="宋体"/>
                <w:kern w:val="0"/>
              </w:rPr>
            </w:pPr>
            <w:r>
              <w:rPr>
                <w:rFonts w:hint="eastAsia" w:ascii="宋体" w:hAnsi="宋体" w:cs="宋体"/>
                <w:kern w:val="0"/>
              </w:rPr>
              <w:t>本项目设最高限价，含税报价不超出预算总价</w:t>
            </w:r>
          </w:p>
        </w:tc>
        <w:tc>
          <w:tcPr>
            <w:tcW w:w="1418" w:type="dxa"/>
            <w:tcBorders>
              <w:top w:val="single" w:color="auto" w:sz="4" w:space="0"/>
              <w:left w:val="nil"/>
              <w:bottom w:val="single" w:color="auto" w:sz="4" w:space="0"/>
              <w:right w:val="single" w:color="auto" w:sz="4" w:space="0"/>
            </w:tcBorders>
            <w:vAlign w:val="center"/>
          </w:tcPr>
          <w:p w14:paraId="24BE106C">
            <w:pPr>
              <w:widowControl/>
              <w:jc w:val="center"/>
              <w:rPr>
                <w:rFonts w:ascii="宋体" w:hAnsi="宋体" w:cs="宋体"/>
                <w:kern w:val="0"/>
              </w:rPr>
            </w:pPr>
            <w:r>
              <w:rPr>
                <w:rFonts w:hint="eastAsia" w:ascii="宋体" w:hAnsi="宋体" w:cs="宋体"/>
                <w:kern w:val="0"/>
              </w:rPr>
              <w:t>符合/不符合</w:t>
            </w:r>
          </w:p>
        </w:tc>
      </w:tr>
      <w:tr w14:paraId="4FA2C285">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DDC8607">
            <w:pPr>
              <w:widowControl/>
              <w:spacing w:line="380" w:lineRule="exact"/>
              <w:jc w:val="center"/>
              <w:rPr>
                <w:rFonts w:ascii="宋体" w:hAnsi="宋体" w:cs="宋体"/>
                <w:kern w:val="0"/>
              </w:rPr>
            </w:pPr>
            <w:r>
              <w:rPr>
                <w:rFonts w:hint="eastAsia" w:ascii="宋体" w:hAnsi="宋体" w:cs="宋体"/>
                <w:kern w:val="0"/>
              </w:rPr>
              <w:t>7</w:t>
            </w:r>
          </w:p>
        </w:tc>
        <w:tc>
          <w:tcPr>
            <w:tcW w:w="2413" w:type="dxa"/>
            <w:tcBorders>
              <w:top w:val="single" w:color="auto" w:sz="4" w:space="0"/>
              <w:left w:val="nil"/>
              <w:bottom w:val="single" w:color="auto" w:sz="4" w:space="0"/>
              <w:right w:val="single" w:color="auto" w:sz="4" w:space="0"/>
            </w:tcBorders>
            <w:vAlign w:val="center"/>
          </w:tcPr>
          <w:p w14:paraId="1784EF55">
            <w:pPr>
              <w:widowControl/>
              <w:jc w:val="center"/>
              <w:rPr>
                <w:rFonts w:ascii="宋体" w:hAnsi="宋体" w:cs="宋体"/>
                <w:kern w:val="0"/>
                <w:szCs w:val="21"/>
              </w:rPr>
            </w:pPr>
            <w:r>
              <w:rPr>
                <w:rFonts w:hint="eastAsia" w:ascii="宋体" w:hAnsi="宋体" w:cs="宋体"/>
                <w:kern w:val="0"/>
                <w:szCs w:val="21"/>
              </w:rPr>
              <w:t>点对点应答</w:t>
            </w:r>
          </w:p>
        </w:tc>
        <w:tc>
          <w:tcPr>
            <w:tcW w:w="4249" w:type="dxa"/>
            <w:tcBorders>
              <w:top w:val="single" w:color="auto" w:sz="4" w:space="0"/>
              <w:left w:val="nil"/>
              <w:bottom w:val="single" w:color="auto" w:sz="4" w:space="0"/>
              <w:right w:val="single" w:color="auto" w:sz="4" w:space="0"/>
            </w:tcBorders>
            <w:vAlign w:val="center"/>
          </w:tcPr>
          <w:p w14:paraId="4D065625">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1418" w:type="dxa"/>
            <w:tcBorders>
              <w:top w:val="single" w:color="auto" w:sz="4" w:space="0"/>
              <w:left w:val="nil"/>
              <w:bottom w:val="single" w:color="auto" w:sz="4" w:space="0"/>
              <w:right w:val="single" w:color="auto" w:sz="4" w:space="0"/>
            </w:tcBorders>
            <w:vAlign w:val="center"/>
          </w:tcPr>
          <w:p w14:paraId="6F41643E">
            <w:pPr>
              <w:widowControl/>
              <w:jc w:val="center"/>
              <w:rPr>
                <w:rFonts w:ascii="宋体" w:hAnsi="宋体" w:cs="宋体"/>
                <w:kern w:val="0"/>
              </w:rPr>
            </w:pPr>
            <w:r>
              <w:rPr>
                <w:rFonts w:hint="eastAsia" w:ascii="宋体" w:hAnsi="宋体" w:cs="宋体"/>
                <w:kern w:val="0"/>
              </w:rPr>
              <w:t>符合/不符合</w:t>
            </w:r>
          </w:p>
        </w:tc>
      </w:tr>
      <w:tr w14:paraId="0C14994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5607208">
            <w:pPr>
              <w:widowControl/>
              <w:spacing w:line="380" w:lineRule="exact"/>
              <w:jc w:val="center"/>
              <w:rPr>
                <w:rFonts w:ascii="宋体" w:hAnsi="宋体" w:cs="宋体"/>
                <w:kern w:val="0"/>
              </w:rPr>
            </w:pPr>
            <w:r>
              <w:rPr>
                <w:rFonts w:hint="eastAsia" w:ascii="宋体" w:hAnsi="宋体" w:cs="宋体"/>
                <w:kern w:val="0"/>
              </w:rPr>
              <w:t>8</w:t>
            </w:r>
          </w:p>
        </w:tc>
        <w:tc>
          <w:tcPr>
            <w:tcW w:w="2413" w:type="dxa"/>
            <w:tcBorders>
              <w:top w:val="single" w:color="auto" w:sz="4" w:space="0"/>
              <w:left w:val="nil"/>
              <w:bottom w:val="single" w:color="auto" w:sz="4" w:space="0"/>
              <w:right w:val="single" w:color="auto" w:sz="4" w:space="0"/>
            </w:tcBorders>
            <w:vAlign w:val="center"/>
          </w:tcPr>
          <w:p w14:paraId="212EE73C">
            <w:pPr>
              <w:widowControl/>
              <w:jc w:val="center"/>
              <w:rPr>
                <w:rFonts w:ascii="宋体" w:hAnsi="宋体" w:cs="宋体"/>
                <w:kern w:val="0"/>
                <w:szCs w:val="21"/>
              </w:rPr>
            </w:pPr>
            <w:r>
              <w:rPr>
                <w:rFonts w:hint="eastAsia" w:ascii="宋体" w:hAnsi="宋体" w:cs="宋体"/>
                <w:kern w:val="0"/>
              </w:rPr>
              <w:t>响应文件的签署和盖章</w:t>
            </w:r>
          </w:p>
        </w:tc>
        <w:tc>
          <w:tcPr>
            <w:tcW w:w="4249" w:type="dxa"/>
            <w:tcBorders>
              <w:top w:val="single" w:color="auto" w:sz="4" w:space="0"/>
              <w:left w:val="nil"/>
              <w:bottom w:val="single" w:color="auto" w:sz="4" w:space="0"/>
              <w:right w:val="single" w:color="auto" w:sz="4" w:space="0"/>
            </w:tcBorders>
            <w:vAlign w:val="center"/>
          </w:tcPr>
          <w:p w14:paraId="69D8987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7187F044">
            <w:pPr>
              <w:widowControl/>
              <w:jc w:val="left"/>
              <w:rPr>
                <w:rFonts w:ascii="宋体" w:hAnsi="宋体" w:cs="宋体"/>
                <w:kern w:val="0"/>
              </w:rPr>
            </w:pPr>
            <w:r>
              <w:rPr>
                <w:rFonts w:hint="eastAsia" w:ascii="宋体" w:hAnsi="宋体" w:cs="宋体"/>
                <w:kern w:val="0"/>
              </w:rPr>
              <w:t>同时响应文件签字盖章必须满足以下其中一条规定：</w:t>
            </w:r>
          </w:p>
          <w:p w14:paraId="1A80AE6E">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65E206E">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7FC9CBF2">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1418" w:type="dxa"/>
            <w:tcBorders>
              <w:top w:val="single" w:color="auto" w:sz="4" w:space="0"/>
              <w:left w:val="nil"/>
              <w:bottom w:val="single" w:color="auto" w:sz="4" w:space="0"/>
              <w:right w:val="single" w:color="auto" w:sz="4" w:space="0"/>
            </w:tcBorders>
            <w:vAlign w:val="center"/>
          </w:tcPr>
          <w:p w14:paraId="092A1495">
            <w:pPr>
              <w:widowControl/>
              <w:jc w:val="center"/>
              <w:rPr>
                <w:rFonts w:ascii="宋体" w:hAnsi="宋体" w:cs="宋体"/>
                <w:kern w:val="0"/>
              </w:rPr>
            </w:pPr>
            <w:r>
              <w:rPr>
                <w:rFonts w:hint="eastAsia" w:ascii="宋体" w:hAnsi="宋体" w:cs="宋体"/>
                <w:kern w:val="0"/>
              </w:rPr>
              <w:t>符合/不符合</w:t>
            </w:r>
          </w:p>
        </w:tc>
      </w:tr>
    </w:tbl>
    <w:p w14:paraId="6697D2F4">
      <w:pPr>
        <w:pStyle w:val="218"/>
        <w:tabs>
          <w:tab w:val="left" w:pos="945"/>
          <w:tab w:val="left" w:pos="1050"/>
        </w:tabs>
        <w:jc w:val="both"/>
        <w:rPr>
          <w:rFonts w:ascii="宋体" w:hAnsi="宋体" w:cs="宋体"/>
          <w:b/>
          <w:sz w:val="24"/>
        </w:rPr>
      </w:pPr>
    </w:p>
    <w:p w14:paraId="65C9E55D">
      <w:pPr>
        <w:widowControl/>
        <w:numPr>
          <w:ilvl w:val="0"/>
          <w:numId w:val="5"/>
        </w:numPr>
        <w:spacing w:line="380" w:lineRule="exact"/>
        <w:jc w:val="left"/>
        <w:rPr>
          <w:rFonts w:ascii="宋体" w:hAnsi="宋体" w:cs="宋体"/>
          <w:b/>
          <w:color w:val="000000"/>
          <w:szCs w:val="21"/>
        </w:rPr>
      </w:pPr>
      <w:bookmarkStart w:id="11" w:name="_Toc357696408"/>
      <w:r>
        <w:rPr>
          <w:rFonts w:hint="eastAsia" w:ascii="宋体" w:hAnsi="宋体" w:cs="宋体"/>
          <w:b/>
          <w:color w:val="000000"/>
          <w:szCs w:val="21"/>
        </w:rPr>
        <w:t>详细评审</w:t>
      </w:r>
    </w:p>
    <w:p w14:paraId="2433C197">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034BDAE3">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8B160FE">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4953863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12C520C9">
      <w:pPr>
        <w:spacing w:before="120" w:after="120"/>
        <w:ind w:firstLine="412" w:firstLineChars="200"/>
        <w:rPr>
          <w:rFonts w:ascii="宋体" w:hAnsi="宋体" w:cs="宋体"/>
          <w:spacing w:val="-2"/>
        </w:rPr>
      </w:pPr>
      <w:r>
        <w:rPr>
          <w:rFonts w:hint="eastAsia" w:ascii="宋体" w:hAnsi="宋体" w:cs="宋体"/>
          <w:spacing w:val="-2"/>
        </w:rPr>
        <w:t>2综合考虑供应商的商务和技术条件，经评审满足相关要求情况下价格最低者中选（成交）。</w:t>
      </w:r>
    </w:p>
    <w:p w14:paraId="76EABF64">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61D52E6">
      <w:pPr>
        <w:spacing w:before="120" w:after="120"/>
        <w:ind w:firstLine="412" w:firstLineChars="200"/>
        <w:rPr>
          <w:rFonts w:ascii="宋体" w:hAnsi="宋体" w:cs="宋体"/>
          <w:b/>
          <w:spacing w:val="-2"/>
        </w:rPr>
      </w:pPr>
      <w:r>
        <w:rPr>
          <w:rFonts w:hint="eastAsia" w:ascii="宋体" w:hAnsi="宋体" w:cs="宋体"/>
          <w:spacing w:val="-2"/>
        </w:rPr>
        <w:t>4若通过报名单位家数或审查不足2家单位，则项目失败，将重新进行发布比选公告。</w:t>
      </w:r>
    </w:p>
    <w:p w14:paraId="54C73562">
      <w:pPr>
        <w:pStyle w:val="2"/>
        <w:jc w:val="center"/>
        <w:rPr>
          <w:rFonts w:ascii="宋体" w:hAnsi="宋体" w:cs="宋体"/>
          <w:b w:val="0"/>
          <w:sz w:val="32"/>
          <w:szCs w:val="32"/>
        </w:rPr>
      </w:pPr>
      <w:r>
        <w:rPr>
          <w:rFonts w:hint="eastAsia" w:ascii="宋体" w:hAnsi="宋体" w:cs="宋体"/>
          <w:b w:val="0"/>
          <w:sz w:val="32"/>
          <w:szCs w:val="32"/>
        </w:rPr>
        <w:br w:type="page"/>
      </w:r>
      <w:bookmarkStart w:id="12" w:name="_Toc9027"/>
      <w:bookmarkStart w:id="13" w:name="_Toc30128"/>
      <w:r>
        <w:rPr>
          <w:rFonts w:hint="eastAsia" w:ascii="宋体" w:hAnsi="宋体" w:cs="宋体"/>
          <w:b w:val="0"/>
          <w:sz w:val="32"/>
          <w:szCs w:val="32"/>
        </w:rPr>
        <w:t xml:space="preserve">第四章 </w:t>
      </w:r>
      <w:bookmarkEnd w:id="11"/>
      <w:r>
        <w:rPr>
          <w:rFonts w:hint="eastAsia" w:ascii="宋体" w:hAnsi="宋体" w:cs="宋体"/>
          <w:b w:val="0"/>
          <w:sz w:val="32"/>
          <w:szCs w:val="32"/>
        </w:rPr>
        <w:t>合同条款</w:t>
      </w:r>
      <w:bookmarkEnd w:id="12"/>
      <w:bookmarkEnd w:id="13"/>
    </w:p>
    <w:p w14:paraId="09DCCC04">
      <w:pPr>
        <w:pStyle w:val="3"/>
        <w:rPr>
          <w:rFonts w:ascii="宋体" w:hAnsi="宋体" w:cs="宋体"/>
          <w:b w:val="0"/>
          <w:sz w:val="30"/>
          <w:szCs w:val="30"/>
        </w:rPr>
      </w:pPr>
      <w:bookmarkStart w:id="14" w:name="_Toc297029996"/>
      <w:bookmarkStart w:id="15" w:name="_Toc385249521"/>
      <w:r>
        <w:rPr>
          <w:rFonts w:hint="eastAsia" w:ascii="宋体" w:hAnsi="宋体" w:cs="宋体"/>
          <w:b w:val="0"/>
          <w:sz w:val="30"/>
          <w:szCs w:val="30"/>
        </w:rPr>
        <w:t>一、合同条款</w:t>
      </w:r>
      <w:bookmarkEnd w:id="14"/>
      <w:bookmarkEnd w:id="15"/>
      <w:r>
        <w:rPr>
          <w:rFonts w:hint="eastAsia" w:ascii="宋体" w:hAnsi="宋体" w:cs="宋体"/>
          <w:b w:val="0"/>
          <w:sz w:val="30"/>
          <w:szCs w:val="30"/>
        </w:rPr>
        <w:t>说明</w:t>
      </w:r>
    </w:p>
    <w:p w14:paraId="639FD40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2E11202D">
      <w:pPr>
        <w:snapToGrid w:val="0"/>
        <w:spacing w:line="360" w:lineRule="auto"/>
        <w:ind w:firstLine="480" w:firstLineChars="200"/>
        <w:rPr>
          <w:rFonts w:ascii="宋体" w:hAnsi="宋体" w:cs="宋体"/>
          <w:sz w:val="24"/>
        </w:rPr>
      </w:pPr>
      <w:r>
        <w:rPr>
          <w:rFonts w:hint="eastAsia" w:ascii="宋体" w:hAnsi="宋体" w:cs="宋体"/>
          <w:sz w:val="24"/>
        </w:rPr>
        <w:t>合同条款是采购人和供应商应共同遵守的合同条款，并作为双方签约的依据。请供应商认真阅读。</w:t>
      </w:r>
    </w:p>
    <w:p w14:paraId="0D3D2293">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6" w:name="_Toc255998790"/>
      <w:bookmarkStart w:id="17" w:name="_Toc251766101"/>
      <w:bookmarkStart w:id="18" w:name="_Toc255998571"/>
    </w:p>
    <w:bookmarkEnd w:id="16"/>
    <w:bookmarkEnd w:id="17"/>
    <w:bookmarkEnd w:id="18"/>
    <w:p w14:paraId="6F6CAE54">
      <w:pPr>
        <w:tabs>
          <w:tab w:val="left" w:pos="1425"/>
        </w:tabs>
        <w:spacing w:line="300" w:lineRule="auto"/>
        <w:rPr>
          <w:rFonts w:ascii="宋体" w:hAnsi="宋体" w:cs="宋体"/>
          <w:sz w:val="24"/>
          <w:szCs w:val="24"/>
        </w:rPr>
      </w:pPr>
    </w:p>
    <w:p w14:paraId="08B4C61D">
      <w:pPr>
        <w:pStyle w:val="3"/>
        <w:rPr>
          <w:rFonts w:hint="eastAsia" w:ascii="宋体" w:hAnsi="宋体" w:eastAsia="宋体" w:cs="宋体"/>
          <w:b w:val="0"/>
          <w:sz w:val="30"/>
          <w:szCs w:val="30"/>
        </w:rPr>
      </w:pPr>
      <w:r>
        <w:rPr>
          <w:rFonts w:hint="eastAsia" w:ascii="宋体" w:hAnsi="宋体" w:cs="宋体"/>
          <w:b w:val="0"/>
          <w:sz w:val="30"/>
          <w:szCs w:val="30"/>
        </w:rPr>
        <w:br w:type="page"/>
      </w:r>
      <w:bookmarkStart w:id="19" w:name="_Toc385249522"/>
      <w:bookmarkStart w:id="20" w:name="_Toc297029997"/>
      <w:bookmarkStart w:id="21" w:name="_Toc357696409"/>
      <w:r>
        <w:rPr>
          <w:rFonts w:hint="eastAsia" w:ascii="宋体" w:hAnsi="宋体" w:eastAsia="宋体" w:cs="宋体"/>
          <w:b w:val="0"/>
          <w:sz w:val="30"/>
          <w:szCs w:val="30"/>
        </w:rPr>
        <w:t>二、合同</w:t>
      </w:r>
      <w:bookmarkEnd w:id="19"/>
      <w:bookmarkEnd w:id="20"/>
      <w:r>
        <w:rPr>
          <w:rFonts w:hint="eastAsia" w:ascii="宋体" w:hAnsi="宋体" w:eastAsia="宋体" w:cs="宋体"/>
          <w:b w:val="0"/>
          <w:sz w:val="30"/>
          <w:szCs w:val="30"/>
        </w:rPr>
        <w:t xml:space="preserve">模板 </w:t>
      </w:r>
    </w:p>
    <w:p w14:paraId="28571C57">
      <w:pPr>
        <w:spacing w:line="360" w:lineRule="auto"/>
        <w:jc w:val="center"/>
        <w:rPr>
          <w:rFonts w:ascii="宋体"/>
          <w:b/>
          <w:sz w:val="72"/>
          <w:szCs w:val="72"/>
        </w:rPr>
      </w:pPr>
      <w:bookmarkStart w:id="22" w:name="_Toc44484953"/>
      <w:bookmarkStart w:id="23" w:name="_Toc44483545"/>
      <w:bookmarkStart w:id="24" w:name="_Toc43880863"/>
      <w:bookmarkStart w:id="25" w:name="_Toc44772671"/>
      <w:bookmarkStart w:id="26" w:name="_Toc41907934"/>
      <w:bookmarkStart w:id="27" w:name="_Hlk532851860"/>
    </w:p>
    <w:p w14:paraId="3ED906CF">
      <w:pPr>
        <w:spacing w:line="360" w:lineRule="auto"/>
        <w:jc w:val="center"/>
        <w:rPr>
          <w:rFonts w:ascii="宋体"/>
          <w:b/>
          <w:sz w:val="72"/>
          <w:szCs w:val="72"/>
        </w:rPr>
      </w:pPr>
    </w:p>
    <w:p w14:paraId="4CC60EE8">
      <w:pPr>
        <w:spacing w:line="360" w:lineRule="auto"/>
        <w:jc w:val="center"/>
        <w:rPr>
          <w:rFonts w:ascii="宋体"/>
          <w:b/>
          <w:sz w:val="72"/>
          <w:szCs w:val="72"/>
        </w:rPr>
      </w:pPr>
    </w:p>
    <w:p w14:paraId="002347A5">
      <w:pPr>
        <w:spacing w:line="360" w:lineRule="auto"/>
        <w:jc w:val="center"/>
        <w:rPr>
          <w:rFonts w:hint="eastAsia" w:asciiTheme="minorHAnsi" w:hAnsiTheme="minorHAnsi" w:eastAsiaTheme="minorEastAsia" w:cstheme="minorBidi"/>
          <w:b/>
          <w:bCs/>
          <w:sz w:val="52"/>
          <w:szCs w:val="52"/>
        </w:rPr>
      </w:pPr>
      <w:r>
        <w:rPr>
          <w:rFonts w:hint="eastAsia" w:asciiTheme="minorHAnsi" w:hAnsiTheme="minorHAnsi" w:eastAsiaTheme="minorEastAsia" w:cstheme="minorBidi"/>
          <w:b/>
          <w:bCs/>
          <w:sz w:val="52"/>
          <w:szCs w:val="52"/>
          <w:lang w:eastAsia="zh-CN"/>
        </w:rPr>
        <w:t>数字江门网络建设有限公司园区系统建设项目</w:t>
      </w:r>
    </w:p>
    <w:p w14:paraId="3E709552">
      <w:pPr>
        <w:spacing w:line="360" w:lineRule="auto"/>
        <w:jc w:val="center"/>
        <w:rPr>
          <w:rFonts w:hint="eastAsia" w:asciiTheme="minorHAnsi" w:hAnsiTheme="minorHAnsi" w:eastAsiaTheme="minorEastAsia" w:cstheme="minorBidi"/>
          <w:b/>
          <w:bCs/>
          <w:sz w:val="52"/>
          <w:szCs w:val="52"/>
        </w:rPr>
      </w:pPr>
      <w:r>
        <w:rPr>
          <w:rFonts w:hint="eastAsia" w:asciiTheme="minorHAnsi" w:hAnsiTheme="minorHAnsi" w:eastAsiaTheme="minorEastAsia" w:cstheme="minorBidi"/>
          <w:b/>
          <w:bCs/>
          <w:sz w:val="52"/>
          <w:szCs w:val="52"/>
          <w:lang w:eastAsia="zh-CN"/>
        </w:rPr>
        <w:t>采购</w:t>
      </w:r>
      <w:r>
        <w:rPr>
          <w:rFonts w:hint="eastAsia" w:asciiTheme="minorHAnsi" w:hAnsiTheme="minorHAnsi" w:eastAsiaTheme="minorEastAsia" w:cstheme="minorBidi"/>
          <w:b/>
          <w:bCs/>
          <w:sz w:val="52"/>
          <w:szCs w:val="52"/>
        </w:rPr>
        <w:t>合同</w:t>
      </w:r>
    </w:p>
    <w:p w14:paraId="4F8D58DF">
      <w:pPr>
        <w:spacing w:line="360" w:lineRule="auto"/>
        <w:jc w:val="center"/>
        <w:rPr>
          <w:rFonts w:asciiTheme="minorEastAsia" w:hAnsiTheme="minorEastAsia" w:eastAsiaTheme="minorEastAsia"/>
          <w:b/>
          <w:sz w:val="72"/>
          <w:szCs w:val="72"/>
        </w:rPr>
      </w:pPr>
    </w:p>
    <w:p w14:paraId="209696EF">
      <w:pPr>
        <w:spacing w:line="360" w:lineRule="auto"/>
        <w:rPr>
          <w:rFonts w:hint="eastAsia" w:cs="宋体" w:asciiTheme="minorEastAsia" w:hAnsiTheme="minorEastAsia" w:eastAsiaTheme="minorEastAsia"/>
          <w:sz w:val="24"/>
          <w:szCs w:val="24"/>
        </w:rPr>
        <w:sectPr>
          <w:pgSz w:w="11906" w:h="16838"/>
          <w:pgMar w:top="1440" w:right="1800" w:bottom="1440" w:left="1800" w:header="851" w:footer="992" w:gutter="0"/>
          <w:cols w:space="425" w:num="1"/>
          <w:docGrid w:type="lines" w:linePitch="312" w:charSpace="0"/>
        </w:sectPr>
      </w:pPr>
    </w:p>
    <w:p w14:paraId="4F100CC7">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甲方：</w:t>
      </w:r>
      <w:r>
        <w:rPr>
          <w:rFonts w:hint="eastAsia" w:cs="宋体" w:asciiTheme="minorEastAsia" w:hAnsiTheme="minorEastAsia" w:eastAsiaTheme="minorEastAsia"/>
          <w:sz w:val="24"/>
          <w:szCs w:val="24"/>
          <w:u w:val="single"/>
        </w:rPr>
        <w:t>数字江门网络建设有限公司</w:t>
      </w:r>
      <w:r>
        <w:rPr>
          <w:rFonts w:hint="eastAsia" w:cs="宋体" w:asciiTheme="minorEastAsia" w:hAnsiTheme="minorEastAsia" w:eastAsiaTheme="minorEastAsia"/>
          <w:sz w:val="24"/>
          <w:szCs w:val="24"/>
        </w:rPr>
        <w:t>（以下简称“甲方”）</w:t>
      </w:r>
    </w:p>
    <w:p w14:paraId="64015A9D">
      <w:pPr>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地址：</w:t>
      </w:r>
      <w:r>
        <w:rPr>
          <w:rFonts w:hint="eastAsia" w:cs="宋体" w:asciiTheme="minorEastAsia" w:hAnsiTheme="minorEastAsia" w:eastAsiaTheme="minorEastAsia"/>
          <w:sz w:val="24"/>
          <w:szCs w:val="24"/>
          <w:u w:val="single"/>
        </w:rPr>
        <w:t>江门市蓬江区建设路</w:t>
      </w:r>
      <w:r>
        <w:rPr>
          <w:rFonts w:cs="宋体" w:asciiTheme="minorEastAsia" w:hAnsiTheme="minorEastAsia" w:eastAsiaTheme="minorEastAsia"/>
          <w:sz w:val="24"/>
          <w:szCs w:val="24"/>
          <w:u w:val="single"/>
        </w:rPr>
        <w:t>42号二至五层</w:t>
      </w:r>
    </w:p>
    <w:p w14:paraId="0BEE9FB4">
      <w:pPr>
        <w:spacing w:line="360" w:lineRule="auto"/>
        <w:rPr>
          <w:rFonts w:hint="default" w:cs="宋体" w:asciiTheme="minorEastAsia" w:hAnsiTheme="minorEastAsia" w:eastAsiaTheme="minorEastAsia"/>
          <w:sz w:val="24"/>
          <w:szCs w:val="24"/>
          <w:u w:val="single"/>
          <w:lang w:val="en-US" w:eastAsia="zh-CN"/>
        </w:rPr>
      </w:pPr>
      <w:r>
        <w:rPr>
          <w:rFonts w:hint="eastAsia" w:cs="宋体" w:asciiTheme="minorEastAsia" w:hAnsiTheme="minorEastAsia" w:eastAsiaTheme="minorEastAsia"/>
          <w:sz w:val="24"/>
          <w:szCs w:val="24"/>
          <w:u w:val="single"/>
          <w:lang w:val="en-US" w:eastAsia="zh-CN"/>
        </w:rPr>
        <w:t>联系电话：</w:t>
      </w:r>
    </w:p>
    <w:p w14:paraId="1F5AA4DF">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邮编：</w:t>
      </w:r>
      <w:r>
        <w:rPr>
          <w:rFonts w:cs="宋体" w:asciiTheme="minorEastAsia" w:hAnsiTheme="minorEastAsia" w:eastAsiaTheme="minorEastAsia"/>
          <w:sz w:val="24"/>
          <w:szCs w:val="24"/>
          <w:u w:val="single"/>
        </w:rPr>
        <w:t>529000</w:t>
      </w:r>
    </w:p>
    <w:p w14:paraId="16FBB492">
      <w:pPr>
        <w:spacing w:line="360" w:lineRule="auto"/>
        <w:rPr>
          <w:rFonts w:cs="宋体" w:asciiTheme="minorEastAsia" w:hAnsiTheme="minorEastAsia" w:eastAsiaTheme="minorEastAsia"/>
          <w:sz w:val="24"/>
          <w:szCs w:val="24"/>
        </w:rPr>
      </w:pPr>
    </w:p>
    <w:p w14:paraId="5035732D">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乙方：</w:t>
      </w:r>
      <w:r>
        <w:rPr>
          <w:rFonts w:cs="宋体" w:asciiTheme="minorEastAsia" w:hAnsiTheme="minorEastAsia" w:eastAsiaTheme="minorEastAsia"/>
          <w:sz w:val="24"/>
          <w:szCs w:val="24"/>
          <w:u w:val="single"/>
        </w:rPr>
        <w:t xml:space="preserve"> X </w:t>
      </w:r>
      <w:r>
        <w:rPr>
          <w:rFonts w:hint="eastAsia" w:cs="宋体" w:asciiTheme="minorEastAsia" w:hAnsiTheme="minorEastAsia" w:eastAsiaTheme="minorEastAsia"/>
          <w:sz w:val="24"/>
          <w:szCs w:val="24"/>
        </w:rPr>
        <w:t>（以下简称“乙方”）</w:t>
      </w:r>
    </w:p>
    <w:p w14:paraId="4B607325">
      <w:pPr>
        <w:spacing w:line="360"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地址：</w:t>
      </w:r>
      <w:r>
        <w:rPr>
          <w:rFonts w:cs="宋体" w:asciiTheme="minorEastAsia" w:hAnsiTheme="minorEastAsia" w:eastAsiaTheme="minorEastAsia"/>
          <w:sz w:val="24"/>
          <w:szCs w:val="24"/>
          <w:u w:val="single"/>
        </w:rPr>
        <w:t>X</w:t>
      </w:r>
    </w:p>
    <w:p w14:paraId="05230A7D">
      <w:pPr>
        <w:spacing w:line="360" w:lineRule="auto"/>
        <w:rPr>
          <w:rFonts w:hint="default" w:cs="宋体" w:asciiTheme="minorEastAsia" w:hAnsiTheme="minorEastAsia" w:eastAsiaTheme="minorEastAsia"/>
          <w:sz w:val="24"/>
          <w:szCs w:val="24"/>
          <w:u w:val="single"/>
          <w:lang w:val="en-US" w:eastAsia="zh-CN"/>
        </w:rPr>
      </w:pPr>
      <w:r>
        <w:rPr>
          <w:rFonts w:hint="eastAsia" w:cs="宋体" w:asciiTheme="minorEastAsia" w:hAnsiTheme="minorEastAsia" w:eastAsiaTheme="minorEastAsia"/>
          <w:sz w:val="24"/>
          <w:szCs w:val="24"/>
          <w:u w:val="single"/>
          <w:lang w:val="en-US" w:eastAsia="zh-CN"/>
        </w:rPr>
        <w:t>联系电话：</w:t>
      </w:r>
    </w:p>
    <w:p w14:paraId="5BD9D422">
      <w:pPr>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邮编：</w:t>
      </w:r>
      <w:r>
        <w:rPr>
          <w:rFonts w:cs="宋体" w:asciiTheme="minorEastAsia" w:hAnsiTheme="minorEastAsia" w:eastAsiaTheme="minorEastAsia"/>
          <w:sz w:val="24"/>
          <w:szCs w:val="24"/>
          <w:u w:val="single"/>
        </w:rPr>
        <w:t>X</w:t>
      </w:r>
    </w:p>
    <w:p w14:paraId="6B78833D">
      <w:pPr>
        <w:widowControl/>
        <w:spacing w:line="360" w:lineRule="auto"/>
        <w:jc w:val="left"/>
      </w:pPr>
    </w:p>
    <w:p w14:paraId="5FA90E01">
      <w:pPr>
        <w:adjustRightInd w:val="0"/>
        <w:spacing w:line="360" w:lineRule="auto"/>
        <w:ind w:firstLine="480" w:firstLineChars="200"/>
        <w:jc w:val="left"/>
        <w:textAlignment w:val="top"/>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甲乙双方根据《中华人民共和国民法典》、《中华人民共和国招标投标法》等有关法律法规的规定，按照</w:t>
      </w:r>
      <w:r>
        <w:rPr>
          <w:rFonts w:hint="eastAsia" w:cs="宋体" w:asciiTheme="minorEastAsia" w:hAnsiTheme="minorEastAsia" w:eastAsiaTheme="minorEastAsia"/>
          <w:sz w:val="24"/>
          <w:szCs w:val="24"/>
          <w:u w:val="single"/>
          <w:lang w:eastAsia="zh-CN"/>
        </w:rPr>
        <w:t>数字江门网络建设有限公司园区系统建设项目</w:t>
      </w:r>
      <w:r>
        <w:rPr>
          <w:rFonts w:hint="eastAsia" w:cs="宋体" w:asciiTheme="minorEastAsia" w:hAnsiTheme="minorEastAsia" w:eastAsiaTheme="minorEastAsia"/>
          <w:sz w:val="24"/>
          <w:szCs w:val="24"/>
        </w:rPr>
        <w:t>的采购结果、比选文件、乙方的响应文件及澄清文件和成交通知书的要求，经双方协商一致，订立合同如下：</w:t>
      </w:r>
    </w:p>
    <w:p w14:paraId="397FBF38">
      <w:pPr>
        <w:spacing w:line="360" w:lineRule="auto"/>
        <w:rPr>
          <w:rFonts w:ascii="宋体" w:hAnsi="宋体" w:eastAsia="宋体" w:cs="宋体"/>
          <w:b/>
          <w:bCs/>
          <w:sz w:val="24"/>
          <w:szCs w:val="22"/>
          <w:highlight w:val="yellow"/>
        </w:rPr>
      </w:pPr>
      <w:r>
        <w:rPr>
          <w:rFonts w:hint="eastAsia" w:ascii="宋体" w:hAnsi="宋体" w:eastAsia="宋体" w:cs="宋体"/>
          <w:b/>
          <w:bCs/>
          <w:sz w:val="24"/>
          <w:szCs w:val="22"/>
        </w:rPr>
        <w:t>第 一 条：产品名称、规格、数量及价格</w:t>
      </w:r>
    </w:p>
    <w:p w14:paraId="135B5AE7">
      <w:pPr>
        <w:numPr>
          <w:ilvl w:val="0"/>
          <w:numId w:val="6"/>
        </w:numPr>
        <w:spacing w:line="360" w:lineRule="auto"/>
        <w:ind w:firstLine="480" w:firstLineChars="200"/>
        <w:rPr>
          <w:sz w:val="24"/>
          <w:szCs w:val="22"/>
        </w:rPr>
      </w:pPr>
      <w:r>
        <w:rPr>
          <w:rFonts w:hint="eastAsia"/>
          <w:sz w:val="24"/>
          <w:szCs w:val="22"/>
        </w:rPr>
        <w:t>项目名称：</w:t>
      </w:r>
      <w:r>
        <w:rPr>
          <w:rFonts w:hint="eastAsia" w:cs="宋体" w:asciiTheme="minorEastAsia" w:hAnsiTheme="minorEastAsia" w:eastAsiaTheme="minorEastAsia"/>
          <w:sz w:val="24"/>
          <w:szCs w:val="24"/>
          <w:u w:val="single"/>
          <w:lang w:eastAsia="zh-CN"/>
        </w:rPr>
        <w:t>数字江门网络建设有限公司园区系统建设项目</w:t>
      </w:r>
    </w:p>
    <w:p w14:paraId="0626C21E">
      <w:pPr>
        <w:numPr>
          <w:ilvl w:val="0"/>
          <w:numId w:val="6"/>
        </w:numPr>
        <w:spacing w:line="360" w:lineRule="auto"/>
        <w:ind w:firstLine="480" w:firstLineChars="200"/>
        <w:rPr>
          <w:sz w:val="24"/>
          <w:szCs w:val="22"/>
        </w:rPr>
      </w:pPr>
      <w:r>
        <w:rPr>
          <w:rFonts w:hint="eastAsia"/>
          <w:sz w:val="24"/>
          <w:szCs w:val="22"/>
        </w:rPr>
        <w:t>合同总价为（小写）</w:t>
      </w:r>
      <w:r>
        <w:rPr>
          <w:rFonts w:hint="eastAsia"/>
          <w:sz w:val="24"/>
          <w:szCs w:val="22"/>
          <w:u w:val="single"/>
        </w:rPr>
        <w:t>¥</w:t>
      </w:r>
      <w:r>
        <w:rPr>
          <w:rFonts w:hint="eastAsia"/>
          <w:sz w:val="24"/>
          <w:szCs w:val="22"/>
          <w:u w:val="single"/>
          <w:lang w:val="en-US" w:eastAsia="zh-CN"/>
        </w:rPr>
        <w:t>XXX</w:t>
      </w:r>
      <w:r>
        <w:rPr>
          <w:rFonts w:hint="eastAsia"/>
          <w:sz w:val="24"/>
          <w:szCs w:val="22"/>
          <w:u w:val="single"/>
        </w:rPr>
        <w:t>元</w:t>
      </w:r>
      <w:r>
        <w:rPr>
          <w:rFonts w:hint="eastAsia"/>
          <w:sz w:val="24"/>
          <w:szCs w:val="22"/>
        </w:rPr>
        <w:t>，（大写）</w:t>
      </w:r>
      <w:r>
        <w:rPr>
          <w:rFonts w:hint="eastAsia"/>
          <w:sz w:val="24"/>
          <w:szCs w:val="22"/>
          <w:u w:val="single"/>
        </w:rPr>
        <w:t>人民币</w:t>
      </w:r>
      <w:r>
        <w:rPr>
          <w:rFonts w:hint="eastAsia"/>
          <w:sz w:val="24"/>
          <w:szCs w:val="22"/>
          <w:u w:val="single"/>
          <w:lang w:val="en-US" w:eastAsia="zh-CN"/>
        </w:rPr>
        <w:t>XXX</w:t>
      </w:r>
      <w:r>
        <w:rPr>
          <w:rFonts w:hint="eastAsia"/>
          <w:sz w:val="24"/>
          <w:szCs w:val="22"/>
        </w:rPr>
        <w:t>。其中不含税价为（小写）</w:t>
      </w:r>
      <w:r>
        <w:rPr>
          <w:rFonts w:hint="eastAsia"/>
          <w:sz w:val="24"/>
          <w:szCs w:val="22"/>
          <w:u w:val="single"/>
        </w:rPr>
        <w:t>¥</w:t>
      </w:r>
      <w:r>
        <w:rPr>
          <w:rFonts w:hint="eastAsia"/>
          <w:sz w:val="24"/>
          <w:szCs w:val="22"/>
          <w:u w:val="single"/>
          <w:lang w:val="en-US" w:eastAsia="zh-CN"/>
        </w:rPr>
        <w:t>XXX</w:t>
      </w:r>
      <w:r>
        <w:rPr>
          <w:rFonts w:hint="eastAsia"/>
          <w:sz w:val="24"/>
          <w:szCs w:val="22"/>
          <w:u w:val="single"/>
        </w:rPr>
        <w:t>元</w:t>
      </w:r>
      <w:r>
        <w:rPr>
          <w:rFonts w:hint="eastAsia"/>
          <w:sz w:val="24"/>
          <w:szCs w:val="22"/>
        </w:rPr>
        <w:t>，（大写）</w:t>
      </w:r>
      <w:r>
        <w:rPr>
          <w:rFonts w:hint="eastAsia"/>
          <w:sz w:val="24"/>
          <w:szCs w:val="22"/>
          <w:u w:val="single"/>
        </w:rPr>
        <w:t>人民币</w:t>
      </w:r>
      <w:r>
        <w:rPr>
          <w:rFonts w:hint="eastAsia"/>
          <w:sz w:val="24"/>
          <w:szCs w:val="22"/>
          <w:u w:val="single"/>
          <w:lang w:val="en-US" w:eastAsia="zh-CN"/>
        </w:rPr>
        <w:t>XXX</w:t>
      </w:r>
      <w:r>
        <w:rPr>
          <w:rFonts w:hint="eastAsia"/>
          <w:sz w:val="24"/>
          <w:szCs w:val="22"/>
        </w:rPr>
        <w:t>，适用增值税率</w:t>
      </w:r>
      <w:bookmarkStart w:id="91" w:name="_GoBack"/>
      <w:bookmarkEnd w:id="91"/>
      <w:r>
        <w:rPr>
          <w:rFonts w:hint="eastAsia"/>
          <w:sz w:val="24"/>
          <w:szCs w:val="22"/>
        </w:rPr>
        <w:t>13%。合同总价格为含税全包固定不变价。</w:t>
      </w:r>
    </w:p>
    <w:p w14:paraId="2BE42DE1">
      <w:pPr>
        <w:numPr>
          <w:ilvl w:val="0"/>
          <w:numId w:val="6"/>
        </w:numPr>
        <w:spacing w:line="360" w:lineRule="auto"/>
        <w:ind w:firstLine="480" w:firstLineChars="200"/>
        <w:rPr>
          <w:sz w:val="24"/>
          <w:szCs w:val="22"/>
        </w:rPr>
      </w:pPr>
      <w:r>
        <w:rPr>
          <w:rFonts w:hint="eastAsia"/>
          <w:sz w:val="24"/>
          <w:szCs w:val="22"/>
        </w:rPr>
        <w:t>产品清单：</w:t>
      </w:r>
      <w:r>
        <w:rPr>
          <w:rFonts w:hint="eastAsia"/>
          <w:sz w:val="24"/>
          <w:szCs w:val="22"/>
          <w:u w:val="single"/>
        </w:rPr>
        <w:t>详见合同附件产品清单一览表</w:t>
      </w:r>
    </w:p>
    <w:p w14:paraId="51E1A034">
      <w:pPr>
        <w:tabs>
          <w:tab w:val="left" w:pos="720"/>
        </w:tabs>
        <w:autoSpaceDE w:val="0"/>
        <w:autoSpaceDN w:val="0"/>
        <w:adjustRightInd w:val="0"/>
        <w:spacing w:line="360" w:lineRule="auto"/>
        <w:ind w:right="18"/>
        <w:jc w:val="left"/>
        <w:rPr>
          <w:rFonts w:ascii="宋体" w:hAnsi="宋体" w:eastAsia="宋体" w:cs="宋体"/>
          <w:b/>
          <w:bCs/>
          <w:sz w:val="24"/>
          <w:szCs w:val="22"/>
        </w:rPr>
      </w:pPr>
      <w:r>
        <w:rPr>
          <w:rFonts w:hint="eastAsia" w:ascii="宋体" w:hAnsi="宋体" w:eastAsia="宋体" w:cs="宋体"/>
          <w:b/>
          <w:bCs/>
          <w:sz w:val="24"/>
          <w:szCs w:val="22"/>
        </w:rPr>
        <w:t>第 二 条：交货及验收</w:t>
      </w:r>
    </w:p>
    <w:p w14:paraId="0AC170B2">
      <w:pPr>
        <w:numPr>
          <w:ilvl w:val="0"/>
          <w:numId w:val="7"/>
        </w:numPr>
        <w:spacing w:line="360" w:lineRule="auto"/>
        <w:ind w:firstLine="480" w:firstLineChars="200"/>
        <w:jc w:val="left"/>
        <w:rPr>
          <w:sz w:val="24"/>
          <w:szCs w:val="22"/>
          <w:u w:val="single"/>
        </w:rPr>
      </w:pPr>
      <w:r>
        <w:rPr>
          <w:rFonts w:hint="eastAsia"/>
          <w:sz w:val="24"/>
          <w:szCs w:val="22"/>
          <w:u w:val="single"/>
        </w:rPr>
        <w:t>交货时间：自本合同签订生效之日</w:t>
      </w:r>
      <w:r>
        <w:rPr>
          <w:rFonts w:hint="eastAsia"/>
          <w:sz w:val="24"/>
          <w:szCs w:val="22"/>
          <w:highlight w:val="none"/>
          <w:u w:val="single"/>
        </w:rPr>
        <w:t>起1</w:t>
      </w:r>
      <w:r>
        <w:rPr>
          <w:rFonts w:hint="eastAsia"/>
          <w:sz w:val="24"/>
          <w:szCs w:val="22"/>
          <w:highlight w:val="none"/>
          <w:u w:val="single"/>
          <w:lang w:val="en-US" w:eastAsia="zh-CN"/>
        </w:rPr>
        <w:t>5</w:t>
      </w:r>
      <w:r>
        <w:rPr>
          <w:rFonts w:hint="eastAsia"/>
          <w:sz w:val="24"/>
          <w:szCs w:val="22"/>
          <w:highlight w:val="none"/>
          <w:u w:val="single"/>
        </w:rPr>
        <w:t>个</w:t>
      </w:r>
      <w:r>
        <w:rPr>
          <w:rFonts w:hint="eastAsia"/>
          <w:sz w:val="24"/>
          <w:szCs w:val="22"/>
          <w:highlight w:val="none"/>
          <w:u w:val="single"/>
          <w:lang w:eastAsia="zh-CN"/>
        </w:rPr>
        <w:t>工作日</w:t>
      </w:r>
      <w:r>
        <w:rPr>
          <w:rFonts w:hint="eastAsia"/>
          <w:sz w:val="24"/>
          <w:szCs w:val="22"/>
          <w:highlight w:val="none"/>
          <w:u w:val="single"/>
        </w:rPr>
        <w:t>内，</w:t>
      </w:r>
      <w:r>
        <w:rPr>
          <w:rFonts w:hint="eastAsia"/>
          <w:sz w:val="24"/>
          <w:szCs w:val="22"/>
          <w:u w:val="single"/>
        </w:rPr>
        <w:t>乙方应将货物送达甲方指定地点</w:t>
      </w:r>
      <w:r>
        <w:rPr>
          <w:rFonts w:hint="eastAsia"/>
          <w:sz w:val="24"/>
          <w:szCs w:val="22"/>
          <w:u w:val="single"/>
          <w:lang w:eastAsia="zh-CN"/>
        </w:rPr>
        <w:t>。</w:t>
      </w:r>
    </w:p>
    <w:p w14:paraId="47BA0D11">
      <w:pPr>
        <w:numPr>
          <w:ilvl w:val="0"/>
          <w:numId w:val="7"/>
        </w:numPr>
        <w:spacing w:line="360" w:lineRule="auto"/>
        <w:ind w:firstLine="480" w:firstLineChars="200"/>
        <w:jc w:val="left"/>
        <w:rPr>
          <w:sz w:val="24"/>
          <w:szCs w:val="22"/>
          <w:u w:val="single"/>
        </w:rPr>
      </w:pPr>
      <w:r>
        <w:rPr>
          <w:rFonts w:hint="eastAsia"/>
          <w:sz w:val="24"/>
          <w:szCs w:val="22"/>
          <w:u w:val="single"/>
        </w:rPr>
        <w:t>运输及风险：货物运输由乙方负责，运输途中的损毁、灭失风险由乙方承担。</w:t>
      </w:r>
    </w:p>
    <w:p w14:paraId="3C87B039">
      <w:pPr>
        <w:numPr>
          <w:ilvl w:val="0"/>
          <w:numId w:val="7"/>
        </w:numPr>
        <w:spacing w:line="360" w:lineRule="auto"/>
        <w:ind w:firstLine="480" w:firstLineChars="200"/>
        <w:jc w:val="left"/>
        <w:rPr>
          <w:sz w:val="24"/>
          <w:szCs w:val="22"/>
          <w:u w:val="single"/>
        </w:rPr>
      </w:pPr>
      <w:r>
        <w:rPr>
          <w:rFonts w:hint="eastAsia"/>
          <w:sz w:val="24"/>
          <w:szCs w:val="22"/>
          <w:u w:val="single"/>
        </w:rPr>
        <w:t>验收：甲方应在收到货物后</w:t>
      </w:r>
      <w:r>
        <w:rPr>
          <w:rFonts w:hint="eastAsia"/>
          <w:sz w:val="24"/>
          <w:szCs w:val="22"/>
          <w:u w:val="single"/>
          <w:lang w:val="en-US" w:eastAsia="zh-CN"/>
        </w:rPr>
        <w:t>15</w:t>
      </w:r>
      <w:r>
        <w:rPr>
          <w:rFonts w:hint="eastAsia"/>
          <w:sz w:val="24"/>
          <w:szCs w:val="22"/>
          <w:u w:val="single"/>
        </w:rPr>
        <w:t>个日历日内完成验收。如发现数量、规格不符或存在质量问题，甲方应书面通知乙方，乙方须在10个日历日内补足或更换。</w:t>
      </w:r>
    </w:p>
    <w:p w14:paraId="7D6AAF4C">
      <w:pPr>
        <w:spacing w:line="360" w:lineRule="auto"/>
        <w:ind w:left="1054" w:hanging="1205" w:hangingChars="500"/>
        <w:rPr>
          <w:rFonts w:ascii="宋体" w:hAnsi="宋体" w:eastAsia="宋体" w:cs="宋体"/>
          <w:b/>
          <w:bCs/>
          <w:sz w:val="24"/>
          <w:szCs w:val="24"/>
        </w:rPr>
      </w:pPr>
      <w:r>
        <w:rPr>
          <w:rFonts w:hint="eastAsia" w:ascii="宋体" w:hAnsi="宋体" w:eastAsia="宋体" w:cs="宋体"/>
          <w:b/>
          <w:bCs/>
          <w:sz w:val="24"/>
          <w:szCs w:val="24"/>
        </w:rPr>
        <w:t>第 三 条：质量标准</w:t>
      </w:r>
    </w:p>
    <w:p w14:paraId="3DC98A5D">
      <w:pPr>
        <w:numPr>
          <w:ilvl w:val="0"/>
          <w:numId w:val="8"/>
        </w:numPr>
        <w:spacing w:line="360" w:lineRule="auto"/>
        <w:rPr>
          <w:rFonts w:ascii="宋体" w:hAnsi="宋体" w:eastAsia="宋体" w:cs="宋体"/>
          <w:sz w:val="24"/>
          <w:szCs w:val="24"/>
        </w:rPr>
      </w:pPr>
      <w:r>
        <w:rPr>
          <w:rFonts w:hint="eastAsia" w:ascii="宋体" w:hAnsi="宋体" w:eastAsia="宋体" w:cs="宋体"/>
          <w:sz w:val="24"/>
          <w:szCs w:val="24"/>
        </w:rPr>
        <w:t>乙方提供的产品应符合国家及行业现行质量标准，具备产品合格证、质检报告等证明文件。</w:t>
      </w:r>
    </w:p>
    <w:p w14:paraId="076174AF">
      <w:pPr>
        <w:numPr>
          <w:ilvl w:val="0"/>
          <w:numId w:val="8"/>
        </w:numPr>
        <w:spacing w:line="360" w:lineRule="auto"/>
        <w:jc w:val="left"/>
        <w:rPr>
          <w:sz w:val="24"/>
          <w:szCs w:val="24"/>
          <w:u w:val="single"/>
        </w:rPr>
      </w:pPr>
      <w:r>
        <w:rPr>
          <w:rFonts w:hint="eastAsia" w:ascii="宋体" w:hAnsi="宋体" w:eastAsia="宋体" w:cs="宋体"/>
          <w:sz w:val="24"/>
          <w:szCs w:val="24"/>
        </w:rPr>
        <w:t>产品质保期为</w:t>
      </w:r>
      <w:r>
        <w:rPr>
          <w:rFonts w:hint="eastAsia" w:ascii="宋体" w:hAnsi="宋体" w:eastAsia="宋体" w:cs="宋体"/>
          <w:sz w:val="24"/>
          <w:szCs w:val="24"/>
          <w:u w:val="single"/>
        </w:rPr>
        <w:t>1</w:t>
      </w:r>
      <w:r>
        <w:rPr>
          <w:rFonts w:hint="eastAsia" w:ascii="宋体" w:hAnsi="宋体" w:eastAsia="宋体" w:cs="宋体"/>
          <w:sz w:val="24"/>
          <w:szCs w:val="24"/>
        </w:rPr>
        <w:t>年，自验收合格之日起计算。质保期内，因产品</w:t>
      </w:r>
      <w:r>
        <w:rPr>
          <w:rFonts w:hint="eastAsia" w:ascii="宋体" w:hAnsi="宋体" w:eastAsia="宋体" w:cs="宋体"/>
          <w:sz w:val="24"/>
          <w:szCs w:val="24"/>
          <w:lang w:val="en-US" w:eastAsia="zh-CN"/>
        </w:rPr>
        <w:t>自身</w:t>
      </w:r>
      <w:r>
        <w:rPr>
          <w:rFonts w:hint="eastAsia" w:ascii="宋体" w:hAnsi="宋体" w:eastAsia="宋体" w:cs="宋体"/>
          <w:sz w:val="24"/>
          <w:szCs w:val="24"/>
        </w:rPr>
        <w:t>质量问题导致的故障，乙方应免费维修或更换。</w:t>
      </w:r>
    </w:p>
    <w:p w14:paraId="49BE506F">
      <w:pPr>
        <w:spacing w:line="360" w:lineRule="auto"/>
        <w:rPr>
          <w:rFonts w:ascii="宋体" w:hAnsi="宋体" w:eastAsia="宋体" w:cs="宋体"/>
          <w:b/>
          <w:bCs/>
          <w:sz w:val="24"/>
          <w:szCs w:val="24"/>
        </w:rPr>
      </w:pPr>
      <w:r>
        <w:rPr>
          <w:rFonts w:hint="eastAsia" w:ascii="宋体" w:hAnsi="宋体" w:eastAsia="宋体" w:cs="宋体"/>
          <w:b/>
          <w:bCs/>
          <w:sz w:val="24"/>
          <w:szCs w:val="24"/>
        </w:rPr>
        <w:t>第 四 条：费用支付</w:t>
      </w:r>
    </w:p>
    <w:p w14:paraId="0BD00921">
      <w:pPr>
        <w:tabs>
          <w:tab w:val="left" w:pos="720"/>
        </w:tabs>
        <w:autoSpaceDE w:val="0"/>
        <w:autoSpaceDN w:val="0"/>
        <w:adjustRightInd w:val="0"/>
        <w:spacing w:line="360" w:lineRule="auto"/>
        <w:ind w:left="420" w:right="18"/>
        <w:jc w:val="left"/>
        <w:rPr>
          <w:rFonts w:ascii="宋体" w:hAnsi="宋体" w:eastAsia="宋体" w:cs="宋体"/>
          <w:sz w:val="24"/>
          <w:szCs w:val="24"/>
          <w:lang w:eastAsia="zh-Hans"/>
        </w:rPr>
      </w:pPr>
      <w:r>
        <w:rPr>
          <w:rFonts w:hint="eastAsia" w:ascii="宋体" w:hAnsi="宋体" w:eastAsia="宋体" w:cs="宋体"/>
          <w:sz w:val="24"/>
          <w:szCs w:val="24"/>
          <w:lang w:eastAsia="zh-Hans"/>
        </w:rPr>
        <w:t>本项目付款原则上按以下方式支付，如有特殊情况以合同双方共同协商为准。</w:t>
      </w:r>
    </w:p>
    <w:p w14:paraId="1EE0F87D">
      <w:pPr>
        <w:numPr>
          <w:ilvl w:val="0"/>
          <w:numId w:val="9"/>
        </w:numPr>
        <w:spacing w:line="360" w:lineRule="auto"/>
        <w:ind w:firstLineChars="200"/>
        <w:rPr>
          <w:rFonts w:hint="eastAsia" w:ascii="宋体" w:hAnsi="宋体" w:eastAsia="宋体" w:cs="宋体"/>
          <w:sz w:val="24"/>
          <w:szCs w:val="24"/>
          <w:lang w:eastAsia="zh-Hans"/>
        </w:rPr>
      </w:pPr>
      <w:r>
        <w:rPr>
          <w:rFonts w:hint="eastAsia" w:ascii="宋体" w:hAnsi="宋体" w:eastAsia="宋体" w:cs="宋体"/>
          <w:sz w:val="24"/>
          <w:szCs w:val="24"/>
          <w:lang w:eastAsia="zh-Hans"/>
        </w:rPr>
        <w:t>预付款：</w:t>
      </w:r>
      <w:r>
        <w:rPr>
          <w:rFonts w:hint="eastAsia" w:asciiTheme="minorEastAsia" w:hAnsiTheme="minorEastAsia" w:eastAsiaTheme="minorEastAsia"/>
          <w:sz w:val="24"/>
          <w:szCs w:val="24"/>
        </w:rPr>
        <w:t>合</w:t>
      </w:r>
      <w:r>
        <w:rPr>
          <w:rFonts w:hint="eastAsia" w:ascii="宋体" w:hAnsi="宋体" w:eastAsia="宋体" w:cs="宋体"/>
          <w:sz w:val="24"/>
          <w:szCs w:val="24"/>
          <w:lang w:eastAsia="zh-Hans"/>
        </w:rPr>
        <w:t>同签订生效后，在甲方收到乙方提供符合国家财务规定的发票的</w:t>
      </w:r>
      <w:r>
        <w:rPr>
          <w:rFonts w:hint="eastAsia" w:ascii="宋体" w:hAnsi="宋体" w:eastAsia="宋体" w:cs="宋体"/>
          <w:sz w:val="24"/>
          <w:szCs w:val="24"/>
          <w:u w:val="single"/>
          <w:lang w:val="en-US" w:eastAsia="zh-CN"/>
        </w:rPr>
        <w:t>5</w:t>
      </w:r>
      <w:r>
        <w:rPr>
          <w:rFonts w:hint="eastAsia" w:ascii="宋体" w:hAnsi="宋体" w:eastAsia="宋体" w:cs="宋体"/>
          <w:sz w:val="24"/>
          <w:szCs w:val="24"/>
          <w:lang w:eastAsia="zh-Hans"/>
        </w:rPr>
        <w:t>个</w:t>
      </w:r>
      <w:r>
        <w:rPr>
          <w:rFonts w:hint="eastAsia" w:ascii="宋体" w:hAnsi="宋体" w:eastAsia="宋体" w:cs="宋体"/>
          <w:sz w:val="24"/>
          <w:szCs w:val="24"/>
          <w:lang w:eastAsia="zh-CN"/>
        </w:rPr>
        <w:t>日历</w:t>
      </w:r>
      <w:r>
        <w:rPr>
          <w:rFonts w:hint="eastAsia" w:ascii="宋体" w:hAnsi="宋体" w:eastAsia="宋体" w:cs="宋体"/>
          <w:sz w:val="24"/>
          <w:szCs w:val="24"/>
          <w:lang w:eastAsia="zh-Hans"/>
        </w:rPr>
        <w:t>日内，甲方将合同总金额</w:t>
      </w:r>
      <w:r>
        <w:rPr>
          <w:rFonts w:hint="eastAsia" w:ascii="宋体" w:hAnsi="宋体" w:eastAsia="宋体" w:cs="宋体"/>
          <w:sz w:val="24"/>
          <w:szCs w:val="24"/>
          <w:highlight w:val="none"/>
          <w:lang w:eastAsia="zh-Hans"/>
        </w:rPr>
        <w:t>的</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eastAsia="zh-Hans"/>
        </w:rPr>
        <w:t>%支</w:t>
      </w:r>
      <w:r>
        <w:rPr>
          <w:rFonts w:hint="eastAsia" w:ascii="宋体" w:hAnsi="宋体" w:eastAsia="宋体" w:cs="宋体"/>
          <w:sz w:val="24"/>
          <w:szCs w:val="24"/>
          <w:lang w:eastAsia="zh-Hans"/>
        </w:rPr>
        <w:t>付给乙方。</w:t>
      </w:r>
      <w:r>
        <w:rPr>
          <w:rFonts w:hint="eastAsia" w:ascii="宋体" w:hAnsi="宋体" w:eastAsia="宋体" w:cs="宋体"/>
          <w:sz w:val="24"/>
          <w:szCs w:val="24"/>
          <w:lang w:val="en-US" w:eastAsia="zh-CN"/>
        </w:rPr>
        <w:t>甲方应</w:t>
      </w:r>
      <w:r>
        <w:rPr>
          <w:rFonts w:hint="eastAsia" w:ascii="宋体" w:hAnsi="宋体" w:eastAsia="宋体" w:cs="宋体"/>
          <w:sz w:val="24"/>
          <w:szCs w:val="24"/>
          <w:lang w:eastAsia="zh-Hans"/>
        </w:rPr>
        <w:t>支付项目合同预付款项：¥</w:t>
      </w:r>
      <w:r>
        <w:rPr>
          <w:rFonts w:hint="eastAsia" w:ascii="宋体" w:hAnsi="宋体" w:eastAsia="宋体" w:cs="宋体"/>
          <w:sz w:val="24"/>
          <w:szCs w:val="24"/>
          <w:lang w:val="en-US" w:eastAsia="zh-CN"/>
        </w:rPr>
        <w:t>XXX</w:t>
      </w:r>
      <w:r>
        <w:rPr>
          <w:rFonts w:hint="eastAsia" w:ascii="宋体" w:hAnsi="宋体" w:eastAsia="宋体" w:cs="宋体"/>
          <w:sz w:val="24"/>
          <w:szCs w:val="24"/>
          <w:lang w:eastAsia="zh-Hans"/>
        </w:rPr>
        <w:t>元（大写：人民币</w:t>
      </w:r>
      <w:r>
        <w:rPr>
          <w:rFonts w:hint="eastAsia" w:ascii="宋体" w:hAnsi="宋体" w:eastAsia="宋体" w:cs="宋体"/>
          <w:sz w:val="24"/>
          <w:szCs w:val="24"/>
          <w:lang w:val="en-US" w:eastAsia="zh-CN"/>
        </w:rPr>
        <w:t>XXX</w:t>
      </w:r>
      <w:r>
        <w:rPr>
          <w:rFonts w:hint="eastAsia" w:ascii="宋体" w:hAnsi="宋体" w:eastAsia="宋体" w:cs="宋体"/>
          <w:sz w:val="24"/>
          <w:szCs w:val="24"/>
          <w:lang w:eastAsia="zh-Hans"/>
        </w:rPr>
        <w:t>）。</w:t>
      </w:r>
      <w:r>
        <w:rPr>
          <w:rFonts w:hint="eastAsia" w:ascii="宋体" w:hAnsi="宋体" w:eastAsia="宋体" w:cs="宋体"/>
          <w:sz w:val="24"/>
          <w:szCs w:val="24"/>
          <w:lang w:val="en-US" w:eastAsia="zh-CN"/>
        </w:rPr>
        <w:t>乙方应在本合同签订之日起5个日历日内向</w:t>
      </w:r>
      <w:r>
        <w:rPr>
          <w:rFonts w:hint="eastAsia" w:ascii="宋体" w:hAnsi="宋体" w:eastAsia="宋体" w:cs="宋体"/>
          <w:sz w:val="24"/>
          <w:szCs w:val="24"/>
          <w:lang w:eastAsia="zh-Hans"/>
        </w:rPr>
        <w:t>甲方提供符合国家财务规定的发票</w:t>
      </w:r>
      <w:r>
        <w:rPr>
          <w:rFonts w:hint="eastAsia" w:ascii="宋体" w:hAnsi="宋体" w:eastAsia="宋体" w:cs="宋体"/>
          <w:sz w:val="24"/>
          <w:szCs w:val="24"/>
          <w:lang w:eastAsia="zh-CN"/>
        </w:rPr>
        <w:t>。</w:t>
      </w:r>
    </w:p>
    <w:p w14:paraId="0922D215">
      <w:pPr>
        <w:numPr>
          <w:ilvl w:val="0"/>
          <w:numId w:val="9"/>
        </w:numPr>
        <w:spacing w:line="360" w:lineRule="auto"/>
        <w:ind w:firstLineChars="200"/>
        <w:rPr>
          <w:rFonts w:ascii="宋体" w:hAnsi="宋体" w:eastAsia="宋体" w:cs="宋体"/>
          <w:sz w:val="24"/>
          <w:szCs w:val="24"/>
          <w:lang w:eastAsia="zh-Hans"/>
        </w:rPr>
      </w:pPr>
      <w:r>
        <w:rPr>
          <w:rFonts w:hint="eastAsia" w:ascii="宋体" w:hAnsi="宋体" w:eastAsia="宋体" w:cs="宋体"/>
          <w:sz w:val="24"/>
          <w:szCs w:val="24"/>
        </w:rPr>
        <w:t>本合同</w:t>
      </w:r>
      <w:r>
        <w:rPr>
          <w:rFonts w:hint="eastAsia" w:ascii="宋体" w:hAnsi="宋体" w:eastAsia="宋体" w:cs="宋体"/>
          <w:sz w:val="24"/>
          <w:szCs w:val="24"/>
          <w:lang w:eastAsia="zh-Hans"/>
        </w:rPr>
        <w:t>产品到货且经甲方确认后，乙方向甲方提供符合国家财务规定的发票和申请付款手续</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none"/>
        </w:rPr>
        <w:t>个</w:t>
      </w:r>
      <w:r>
        <w:rPr>
          <w:rFonts w:hint="eastAsia" w:ascii="宋体" w:hAnsi="宋体" w:cs="宋体"/>
          <w:sz w:val="24"/>
          <w:szCs w:val="24"/>
          <w:lang w:eastAsia="zh-CN"/>
        </w:rPr>
        <w:t>日历</w:t>
      </w:r>
      <w:r>
        <w:rPr>
          <w:rFonts w:hint="eastAsia" w:ascii="宋体" w:hAnsi="宋体" w:eastAsia="宋体" w:cs="宋体"/>
          <w:sz w:val="24"/>
          <w:szCs w:val="24"/>
        </w:rPr>
        <w:t>日内，</w:t>
      </w:r>
      <w:r>
        <w:rPr>
          <w:rFonts w:hint="eastAsia" w:ascii="宋体" w:hAnsi="宋体" w:eastAsia="宋体" w:cs="宋体"/>
          <w:sz w:val="24"/>
          <w:szCs w:val="24"/>
          <w:lang w:eastAsia="zh-Hans"/>
        </w:rPr>
        <w:t>甲方向乙方支</w:t>
      </w:r>
      <w:r>
        <w:rPr>
          <w:rFonts w:hint="eastAsia" w:ascii="宋体" w:hAnsi="宋体" w:eastAsia="宋体" w:cs="宋体"/>
          <w:sz w:val="24"/>
          <w:szCs w:val="24"/>
          <w:highlight w:val="none"/>
          <w:lang w:eastAsia="zh-Hans"/>
        </w:rPr>
        <w:t>付</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lang w:eastAsia="zh-Hans"/>
        </w:rPr>
        <w:t>项目合同总金额</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0%</w:t>
      </w:r>
      <w:r>
        <w:rPr>
          <w:rFonts w:hint="eastAsia" w:ascii="宋体" w:hAnsi="宋体" w:eastAsia="宋体" w:cs="宋体"/>
          <w:sz w:val="24"/>
          <w:szCs w:val="24"/>
          <w:lang w:eastAsia="zh-Hans"/>
        </w:rPr>
        <w:t>，即¥</w:t>
      </w:r>
      <w:r>
        <w:rPr>
          <w:rFonts w:hint="eastAsia" w:ascii="宋体" w:hAnsi="宋体" w:eastAsia="宋体" w:cs="宋体"/>
          <w:sz w:val="24"/>
          <w:szCs w:val="24"/>
          <w:lang w:val="en-US" w:eastAsia="zh-CN"/>
        </w:rPr>
        <w:t>XXX</w:t>
      </w:r>
      <w:r>
        <w:rPr>
          <w:rFonts w:hint="eastAsia" w:ascii="宋体" w:hAnsi="宋体" w:eastAsia="宋体" w:cs="宋体"/>
          <w:sz w:val="24"/>
          <w:szCs w:val="24"/>
          <w:lang w:eastAsia="zh-Hans"/>
        </w:rPr>
        <w:t>元（大写：人民币</w:t>
      </w:r>
      <w:r>
        <w:rPr>
          <w:rFonts w:hint="eastAsia" w:ascii="宋体" w:hAnsi="宋体" w:eastAsia="宋体" w:cs="宋体"/>
          <w:sz w:val="24"/>
          <w:szCs w:val="24"/>
          <w:lang w:val="en-US" w:eastAsia="zh-CN"/>
        </w:rPr>
        <w:t>XXX</w:t>
      </w:r>
      <w:r>
        <w:rPr>
          <w:rFonts w:hint="eastAsia" w:ascii="宋体" w:hAnsi="宋体" w:eastAsia="宋体" w:cs="宋体"/>
          <w:sz w:val="24"/>
          <w:szCs w:val="24"/>
          <w:lang w:eastAsia="zh-Hans"/>
        </w:rPr>
        <w:t>）。</w:t>
      </w:r>
    </w:p>
    <w:p w14:paraId="3DB3345C">
      <w:pPr>
        <w:numPr>
          <w:ilvl w:val="0"/>
          <w:numId w:val="9"/>
        </w:numPr>
        <w:spacing w:line="360" w:lineRule="auto"/>
        <w:ind w:firstLineChars="200"/>
        <w:rPr>
          <w:rFonts w:ascii="宋体" w:hAnsi="宋体" w:eastAsia="宋体" w:cs="宋体"/>
          <w:sz w:val="24"/>
          <w:szCs w:val="24"/>
          <w:lang w:eastAsia="zh-Hans"/>
        </w:rPr>
      </w:pPr>
      <w:r>
        <w:rPr>
          <w:rFonts w:hint="eastAsia" w:ascii="宋体" w:hAnsi="宋体" w:eastAsia="宋体" w:cs="宋体"/>
          <w:sz w:val="24"/>
          <w:szCs w:val="24"/>
        </w:rPr>
        <w:t>本合同产品到货确认后15个日历日内，甲乙双方组织验收。验收合格且乙方向甲方提供符合国家财务规定的发票后10个日历日内，甲方应办理申请付款手续，并将项目合同总金额的余下款项支付给乙方。</w:t>
      </w:r>
    </w:p>
    <w:p w14:paraId="3B31B4E6">
      <w:pPr>
        <w:numPr>
          <w:ilvl w:val="0"/>
          <w:numId w:val="9"/>
        </w:numPr>
        <w:spacing w:line="360" w:lineRule="auto"/>
        <w:rPr>
          <w:rFonts w:ascii="宋体" w:hAnsi="宋体" w:eastAsia="宋体" w:cs="宋体"/>
          <w:sz w:val="24"/>
          <w:szCs w:val="24"/>
        </w:rPr>
      </w:pPr>
      <w:r>
        <w:rPr>
          <w:rFonts w:hint="eastAsia" w:ascii="宋体" w:hAnsi="宋体" w:eastAsia="宋体" w:cs="宋体"/>
          <w:sz w:val="24"/>
          <w:szCs w:val="24"/>
          <w:lang w:eastAsia="zh-Hans"/>
        </w:rPr>
        <w:t>乙方指定签字盖章栏中的银行账号为收款账号。</w:t>
      </w:r>
    </w:p>
    <w:p w14:paraId="2B179D61">
      <w:pPr>
        <w:spacing w:line="360" w:lineRule="auto"/>
        <w:rPr>
          <w:rFonts w:ascii="宋体" w:hAnsi="宋体" w:eastAsia="宋体" w:cs="宋体"/>
          <w:b/>
          <w:bCs/>
          <w:sz w:val="24"/>
          <w:szCs w:val="24"/>
        </w:rPr>
      </w:pPr>
      <w:r>
        <w:rPr>
          <w:rFonts w:hint="eastAsia" w:ascii="宋体" w:hAnsi="宋体" w:eastAsia="宋体" w:cs="宋体"/>
          <w:b/>
          <w:bCs/>
          <w:sz w:val="24"/>
          <w:szCs w:val="24"/>
        </w:rPr>
        <w:t>第 五 条：保修责任</w:t>
      </w:r>
    </w:p>
    <w:p w14:paraId="78228C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按厂家保修条款执行。</w:t>
      </w:r>
    </w:p>
    <w:p w14:paraId="5CDC282C">
      <w:pPr>
        <w:spacing w:line="360" w:lineRule="auto"/>
        <w:rPr>
          <w:rFonts w:ascii="宋体" w:hAnsi="宋体" w:eastAsia="宋体" w:cs="宋体"/>
          <w:b/>
          <w:bCs/>
          <w:sz w:val="24"/>
          <w:szCs w:val="24"/>
        </w:rPr>
      </w:pPr>
      <w:r>
        <w:rPr>
          <w:rFonts w:hint="eastAsia" w:ascii="宋体" w:hAnsi="宋体" w:eastAsia="宋体" w:cs="宋体"/>
          <w:b/>
          <w:bCs/>
          <w:sz w:val="24"/>
          <w:szCs w:val="24"/>
        </w:rPr>
        <w:t>第 六 条：违约责任</w:t>
      </w:r>
    </w:p>
    <w:p w14:paraId="3029D359">
      <w:pPr>
        <w:numPr>
          <w:ilvl w:val="0"/>
          <w:numId w:val="10"/>
        </w:numPr>
        <w:spacing w:line="360" w:lineRule="auto"/>
        <w:ind w:firstLine="480" w:firstLineChars="200"/>
        <w:rPr>
          <w:rFonts w:hint="default" w:ascii="宋体" w:hAnsi="宋体" w:cs="宋体"/>
          <w:sz w:val="24"/>
          <w:szCs w:val="24"/>
          <w:lang w:val="en-US" w:eastAsia="zh-CN"/>
        </w:rPr>
      </w:pPr>
      <w:r>
        <w:rPr>
          <w:rFonts w:hint="eastAsia" w:ascii="宋体" w:hAnsi="宋体" w:eastAsia="宋体" w:cs="宋体"/>
          <w:sz w:val="24"/>
          <w:szCs w:val="24"/>
        </w:rPr>
        <w:t>乙方逾期交货，每逾期一日，应按合同总金额的0.1%向</w:t>
      </w:r>
      <w:r>
        <w:rPr>
          <w:rFonts w:hint="eastAsia" w:ascii="宋体" w:hAnsi="宋体" w:cs="宋体"/>
          <w:sz w:val="24"/>
          <w:szCs w:val="24"/>
          <w:lang w:val="en-US" w:eastAsia="zh-CN"/>
        </w:rPr>
        <w:t>甲</w:t>
      </w:r>
      <w:r>
        <w:rPr>
          <w:rFonts w:hint="eastAsia" w:ascii="宋体" w:hAnsi="宋体" w:eastAsia="宋体" w:cs="宋体"/>
          <w:sz w:val="24"/>
          <w:szCs w:val="24"/>
        </w:rPr>
        <w:t>方支付违约金。逾期超过10日，</w:t>
      </w:r>
      <w:r>
        <w:rPr>
          <w:rFonts w:hint="eastAsia" w:ascii="宋体" w:hAnsi="宋体" w:cs="宋体"/>
          <w:sz w:val="24"/>
          <w:szCs w:val="24"/>
          <w:lang w:val="en-US" w:eastAsia="zh-CN"/>
        </w:rPr>
        <w:t>甲</w:t>
      </w:r>
      <w:r>
        <w:rPr>
          <w:rFonts w:hint="eastAsia" w:ascii="宋体" w:hAnsi="宋体" w:eastAsia="宋体" w:cs="宋体"/>
          <w:sz w:val="24"/>
          <w:szCs w:val="24"/>
        </w:rPr>
        <w:t>方有权解除合同。</w:t>
      </w:r>
      <w:r>
        <w:rPr>
          <w:rFonts w:hint="eastAsia" w:ascii="宋体" w:hAnsi="宋体" w:cs="宋体"/>
          <w:sz w:val="24"/>
          <w:szCs w:val="24"/>
          <w:lang w:val="en-US" w:eastAsia="zh-CN"/>
        </w:rPr>
        <w:t>乙方应承担甲方因追究乙方责任而产生的费用，包括但不限于诉讼费、律师费、保全费等。</w:t>
      </w:r>
    </w:p>
    <w:p w14:paraId="049814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（二）甲方不得无故中途退货。</w:t>
      </w:r>
    </w:p>
    <w:p w14:paraId="3ADC6DBC">
      <w:pPr>
        <w:spacing w:line="360" w:lineRule="auto"/>
        <w:jc w:val="left"/>
        <w:rPr>
          <w:rFonts w:ascii="宋体" w:hAnsi="宋体" w:eastAsia="宋体" w:cs="宋体"/>
          <w:b/>
          <w:bCs/>
          <w:sz w:val="24"/>
          <w:szCs w:val="24"/>
        </w:rPr>
      </w:pPr>
      <w:r>
        <w:rPr>
          <w:rFonts w:hint="eastAsia" w:ascii="宋体" w:hAnsi="宋体" w:eastAsia="宋体" w:cs="宋体"/>
          <w:b/>
          <w:bCs/>
          <w:sz w:val="24"/>
          <w:szCs w:val="24"/>
        </w:rPr>
        <w:t>第 七 条：不可抗力</w:t>
      </w:r>
    </w:p>
    <w:p w14:paraId="6E110753">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乙双方任何一方由于不可抗力因素不能履行合同时，应及时向对方书面通报不能履行或不能完全履行的理由，以减轻可能给对方造成的损失，在取得有关机构证明后，允许延期履行、部分履行或不履行合同，并根据情况可部分或全部免予承担违约责任。</w:t>
      </w:r>
    </w:p>
    <w:p w14:paraId="28421547">
      <w:pPr>
        <w:spacing w:line="360" w:lineRule="auto"/>
        <w:rPr>
          <w:rFonts w:ascii="宋体" w:hAnsi="宋体" w:eastAsia="宋体" w:cs="宋体"/>
          <w:b/>
          <w:bCs/>
          <w:sz w:val="24"/>
          <w:szCs w:val="24"/>
        </w:rPr>
      </w:pPr>
      <w:r>
        <w:rPr>
          <w:rFonts w:hint="eastAsia" w:ascii="宋体" w:hAnsi="宋体" w:eastAsia="宋体" w:cs="宋体"/>
          <w:b/>
          <w:bCs/>
          <w:sz w:val="24"/>
          <w:szCs w:val="24"/>
        </w:rPr>
        <w:t>第 八 条：争议的解决</w:t>
      </w:r>
    </w:p>
    <w:p w14:paraId="0B3E157B">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因本合同产生的争议，双方应协商解决；协商不成的，提交甲方所在地人民法院诉讼解决。</w:t>
      </w:r>
    </w:p>
    <w:p w14:paraId="3EA5DB1B">
      <w:pPr>
        <w:spacing w:line="360" w:lineRule="auto"/>
        <w:rPr>
          <w:rFonts w:ascii="宋体" w:hAnsi="宋体" w:eastAsia="宋体" w:cs="宋体"/>
          <w:b/>
          <w:bCs/>
          <w:sz w:val="24"/>
          <w:szCs w:val="24"/>
        </w:rPr>
      </w:pPr>
      <w:r>
        <w:rPr>
          <w:rFonts w:hint="eastAsia" w:ascii="宋体" w:hAnsi="宋体" w:eastAsia="宋体" w:cs="宋体"/>
          <w:b/>
          <w:bCs/>
          <w:sz w:val="24"/>
          <w:szCs w:val="24"/>
        </w:rPr>
        <w:t>第 九 条：无效合同</w:t>
      </w:r>
    </w:p>
    <w:p w14:paraId="65E0D1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甲乙双方如因违反法律和有关规定，合同被宣告无效的，有过错的一方应当承担赔偿责任，双方都有过错的，各自承担相应的责任。</w:t>
      </w:r>
    </w:p>
    <w:p w14:paraId="44426F6F">
      <w:pPr>
        <w:spacing w:line="360" w:lineRule="auto"/>
        <w:ind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第 十 条：在本合同履行过程中，所有通知、文件、文书、资料等，均可以向本合同约定的地址和联系人或营业执照所列明的住所地进行送达，任何一方如果迁址、变更电话、电邮，应当提前3日书面通知对方，未履行书面通知义务的，一方按原地址或联络方式邮寄相关材料或通知相关信息即视为已履行送达义务。当面交付上述材料的，在交付之时视为送达；以邮寄、短信、电邮方式交付的，寄出、发出或者投邮后即视为送达。</w:t>
      </w:r>
    </w:p>
    <w:p w14:paraId="6DFB9B3D">
      <w:pPr>
        <w:spacing w:line="360" w:lineRule="auto"/>
        <w:rPr>
          <w:rFonts w:ascii="宋体" w:hAnsi="宋体" w:eastAsia="宋体" w:cs="宋体"/>
          <w:b/>
          <w:bCs/>
          <w:sz w:val="24"/>
          <w:szCs w:val="24"/>
        </w:rPr>
      </w:pPr>
      <w:r>
        <w:rPr>
          <w:rFonts w:hint="eastAsia" w:ascii="宋体" w:hAnsi="宋体" w:eastAsia="宋体" w:cs="宋体"/>
          <w:b/>
          <w:bCs/>
          <w:sz w:val="24"/>
          <w:szCs w:val="24"/>
        </w:rPr>
        <w:t>第 十 条：附则</w:t>
      </w:r>
    </w:p>
    <w:p w14:paraId="0362F9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本合同一式肆份，双方各执贰份，本合同于双方签字盖章后生效。</w:t>
      </w:r>
    </w:p>
    <w:p w14:paraId="6E7EE097">
      <w:pPr>
        <w:widowControl/>
        <w:spacing w:line="360" w:lineRule="auto"/>
        <w:jc w:val="left"/>
        <w:rPr>
          <w:rFonts w:ascii="宋体" w:hAnsi="宋体" w:eastAsia="宋体" w:cs="宋体"/>
          <w:sz w:val="24"/>
          <w:szCs w:val="24"/>
        </w:rPr>
      </w:pPr>
      <w:r>
        <w:rPr>
          <w:rFonts w:hint="eastAsia" w:ascii="宋体" w:hAnsi="宋体" w:eastAsia="宋体" w:cs="宋体"/>
          <w:sz w:val="24"/>
          <w:szCs w:val="24"/>
        </w:rPr>
        <w:t>（以下无正文）</w:t>
      </w:r>
    </w:p>
    <w:p w14:paraId="0B514205">
      <w:pPr>
        <w:numPr>
          <w:ilvl w:val="0"/>
          <w:numId w:val="0"/>
        </w:numPr>
        <w:spacing w:line="360" w:lineRule="auto"/>
        <w:jc w:val="left"/>
        <w:rPr>
          <w:sz w:val="24"/>
          <w:szCs w:val="22"/>
          <w:u w:val="single"/>
        </w:rPr>
      </w:pPr>
    </w:p>
    <w:p w14:paraId="4F68D56D">
      <w:pPr>
        <w:rPr>
          <w:rFonts w:ascii="宋体" w:hAnsi="宋体"/>
          <w:sz w:val="24"/>
          <w:szCs w:val="24"/>
        </w:rPr>
      </w:pPr>
      <w:r>
        <w:rPr>
          <w:rFonts w:hint="eastAsia" w:ascii="宋体" w:hAnsi="宋体"/>
          <w:sz w:val="24"/>
          <w:szCs w:val="24"/>
        </w:rPr>
        <w:br w:type="page"/>
      </w:r>
    </w:p>
    <w:p w14:paraId="13E37DA1">
      <w:pPr>
        <w:adjustRightInd w:val="0"/>
        <w:spacing w:line="360" w:lineRule="auto"/>
        <w:textAlignment w:val="top"/>
        <w:rPr>
          <w:rFonts w:ascii="宋体" w:hAnsi="宋体" w:cs="宋体"/>
          <w:b/>
          <w:bCs/>
          <w:sz w:val="24"/>
          <w:szCs w:val="24"/>
        </w:rPr>
      </w:pPr>
      <w:r>
        <w:rPr>
          <w:rFonts w:hint="eastAsia" w:ascii="宋体" w:hAnsi="宋体" w:cs="宋体"/>
          <w:b/>
          <w:bCs/>
          <w:sz w:val="24"/>
          <w:szCs w:val="24"/>
        </w:rPr>
        <w:t>（本页为签署页）</w:t>
      </w:r>
    </w:p>
    <w:p w14:paraId="68AFEA0A">
      <w:pPr>
        <w:spacing w:line="360" w:lineRule="auto"/>
        <w:rPr>
          <w:rFonts w:ascii="宋体" w:hAnsi="宋体"/>
          <w:sz w:val="24"/>
          <w:szCs w:val="24"/>
        </w:rPr>
      </w:pPr>
      <w:r>
        <w:rPr>
          <w:rFonts w:hint="eastAsia" w:ascii="宋体" w:hAnsi="宋体"/>
          <w:sz w:val="24"/>
          <w:szCs w:val="24"/>
        </w:rPr>
        <w:t>甲方（盖章）：</w:t>
      </w:r>
      <w:r>
        <w:rPr>
          <w:rFonts w:ascii="宋体" w:hAnsi="宋体"/>
          <w:sz w:val="24"/>
          <w:szCs w:val="24"/>
        </w:rPr>
        <w:t xml:space="preserve"> </w:t>
      </w:r>
    </w:p>
    <w:p w14:paraId="20D7DE57">
      <w:pPr>
        <w:spacing w:line="360" w:lineRule="auto"/>
        <w:rPr>
          <w:rFonts w:ascii="宋体" w:hAnsi="宋体"/>
          <w:sz w:val="24"/>
          <w:szCs w:val="24"/>
        </w:rPr>
      </w:pPr>
    </w:p>
    <w:p w14:paraId="66774336">
      <w:pPr>
        <w:spacing w:line="360" w:lineRule="auto"/>
        <w:rPr>
          <w:rFonts w:ascii="宋体" w:hAnsi="宋体"/>
          <w:sz w:val="24"/>
          <w:szCs w:val="24"/>
        </w:rPr>
      </w:pPr>
      <w:r>
        <w:rPr>
          <w:rFonts w:hint="eastAsia" w:ascii="宋体" w:hAnsi="宋体"/>
          <w:sz w:val="24"/>
          <w:szCs w:val="24"/>
        </w:rPr>
        <w:t>法定代表人或授权代表（签名）：</w:t>
      </w:r>
    </w:p>
    <w:p w14:paraId="487ED93E">
      <w:pPr>
        <w:spacing w:line="360" w:lineRule="auto"/>
        <w:rPr>
          <w:rFonts w:ascii="宋体" w:hAnsi="宋体"/>
          <w:sz w:val="24"/>
          <w:szCs w:val="24"/>
        </w:rPr>
      </w:pPr>
    </w:p>
    <w:p w14:paraId="42834233">
      <w:pPr>
        <w:spacing w:line="360" w:lineRule="auto"/>
        <w:rPr>
          <w:rFonts w:ascii="宋体" w:hAnsi="宋体"/>
          <w:sz w:val="24"/>
          <w:szCs w:val="24"/>
          <w:u w:val="single"/>
        </w:rPr>
      </w:pPr>
      <w:r>
        <w:rPr>
          <w:rFonts w:hint="eastAsia" w:ascii="宋体" w:hAnsi="宋体"/>
          <w:sz w:val="24"/>
          <w:szCs w:val="24"/>
        </w:rPr>
        <w:t>日期：     年     月      日</w:t>
      </w:r>
    </w:p>
    <w:p w14:paraId="25F63A9E">
      <w:pPr>
        <w:spacing w:line="360" w:lineRule="auto"/>
        <w:ind w:firstLine="480" w:firstLineChars="200"/>
        <w:rPr>
          <w:rFonts w:ascii="宋体" w:hAnsi="宋体"/>
          <w:sz w:val="24"/>
          <w:szCs w:val="24"/>
        </w:rPr>
      </w:pPr>
    </w:p>
    <w:p w14:paraId="6F77FF27">
      <w:pPr>
        <w:spacing w:line="360" w:lineRule="auto"/>
        <w:ind w:firstLine="480" w:firstLineChars="200"/>
        <w:rPr>
          <w:rFonts w:ascii="宋体" w:hAnsi="宋体"/>
          <w:sz w:val="24"/>
          <w:szCs w:val="24"/>
        </w:rPr>
      </w:pPr>
    </w:p>
    <w:p w14:paraId="3405E387">
      <w:pPr>
        <w:spacing w:line="360" w:lineRule="auto"/>
        <w:ind w:firstLine="480" w:firstLineChars="200"/>
        <w:rPr>
          <w:rFonts w:ascii="宋体" w:hAnsi="宋体"/>
          <w:sz w:val="24"/>
          <w:szCs w:val="24"/>
        </w:rPr>
      </w:pPr>
    </w:p>
    <w:p w14:paraId="0D345B3C">
      <w:pPr>
        <w:spacing w:line="360" w:lineRule="auto"/>
        <w:rPr>
          <w:rFonts w:ascii="宋体" w:hAnsi="宋体"/>
          <w:sz w:val="24"/>
          <w:szCs w:val="24"/>
        </w:rPr>
      </w:pPr>
      <w:r>
        <w:rPr>
          <w:rFonts w:hint="eastAsia" w:ascii="宋体" w:hAnsi="宋体"/>
          <w:sz w:val="24"/>
          <w:szCs w:val="24"/>
        </w:rPr>
        <w:t xml:space="preserve">乙方（盖章）： </w:t>
      </w:r>
    </w:p>
    <w:p w14:paraId="3715ED46">
      <w:pPr>
        <w:spacing w:line="360" w:lineRule="auto"/>
        <w:rPr>
          <w:rFonts w:ascii="宋体" w:hAnsi="宋体"/>
          <w:sz w:val="24"/>
          <w:szCs w:val="24"/>
        </w:rPr>
      </w:pPr>
    </w:p>
    <w:p w14:paraId="12375744">
      <w:pPr>
        <w:spacing w:line="360" w:lineRule="auto"/>
        <w:rPr>
          <w:rFonts w:ascii="宋体" w:hAnsi="宋体"/>
          <w:sz w:val="24"/>
          <w:szCs w:val="24"/>
        </w:rPr>
      </w:pPr>
      <w:r>
        <w:rPr>
          <w:rFonts w:hint="eastAsia" w:ascii="宋体" w:hAnsi="宋体"/>
          <w:sz w:val="24"/>
          <w:szCs w:val="24"/>
        </w:rPr>
        <w:t>法定代表人或授权代表（签名）：</w:t>
      </w:r>
    </w:p>
    <w:p w14:paraId="356407B4">
      <w:pPr>
        <w:spacing w:line="360" w:lineRule="auto"/>
        <w:rPr>
          <w:rFonts w:ascii="宋体" w:hAnsi="宋体"/>
          <w:sz w:val="24"/>
          <w:szCs w:val="24"/>
        </w:rPr>
      </w:pPr>
    </w:p>
    <w:p w14:paraId="26BEB40A">
      <w:pPr>
        <w:spacing w:line="360" w:lineRule="auto"/>
        <w:rPr>
          <w:rFonts w:ascii="宋体" w:hAnsi="宋体"/>
          <w:sz w:val="24"/>
          <w:szCs w:val="24"/>
        </w:rPr>
      </w:pPr>
      <w:r>
        <w:rPr>
          <w:rFonts w:hint="eastAsia" w:ascii="宋体" w:hAnsi="宋体"/>
          <w:sz w:val="24"/>
          <w:szCs w:val="24"/>
        </w:rPr>
        <w:t>日期：     年     月      日</w:t>
      </w:r>
    </w:p>
    <w:p w14:paraId="7FA422E2">
      <w:pPr>
        <w:pStyle w:val="26"/>
        <w:spacing w:after="0" w:line="360" w:lineRule="auto"/>
        <w:rPr>
          <w:rFonts w:ascii="宋体" w:hAnsi="宋体" w:cs="宋体"/>
          <w:sz w:val="21"/>
          <w:szCs w:val="21"/>
        </w:rPr>
      </w:pPr>
    </w:p>
    <w:p w14:paraId="54DA68BD">
      <w:pPr>
        <w:spacing w:line="360" w:lineRule="auto"/>
        <w:rPr>
          <w:rFonts w:ascii="宋体" w:hAnsi="宋体" w:cs="宋体"/>
          <w:kern w:val="0"/>
          <w:sz w:val="32"/>
          <w:szCs w:val="32"/>
        </w:rPr>
      </w:pPr>
    </w:p>
    <w:p w14:paraId="72CCF9B9">
      <w:pPr>
        <w:spacing w:line="360" w:lineRule="auto"/>
        <w:rPr>
          <w:rFonts w:hint="eastAsia" w:ascii="宋体" w:hAnsi="宋体"/>
          <w:sz w:val="24"/>
          <w:szCs w:val="24"/>
        </w:rPr>
      </w:pPr>
      <w:r>
        <w:rPr>
          <w:rFonts w:hint="eastAsia" w:ascii="宋体" w:hAnsi="宋体"/>
          <w:sz w:val="24"/>
          <w:szCs w:val="24"/>
        </w:rPr>
        <w:t>签约地点：江门市蓬江区</w:t>
      </w:r>
    </w:p>
    <w:p w14:paraId="17E74E18"/>
    <w:bookmarkEnd w:id="22"/>
    <w:bookmarkEnd w:id="23"/>
    <w:bookmarkEnd w:id="24"/>
    <w:bookmarkEnd w:id="25"/>
    <w:bookmarkEnd w:id="26"/>
    <w:p w14:paraId="1568A25C">
      <w:pPr>
        <w:ind w:firstLine="602" w:firstLineChars="200"/>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7EB17061">
      <w:pPr>
        <w:rPr>
          <w:rFonts w:ascii="宋体" w:hAnsi="宋体" w:cs="宋体"/>
        </w:rPr>
      </w:pPr>
    </w:p>
    <w:p w14:paraId="2BD43AD9">
      <w:pPr>
        <w:rPr>
          <w:rFonts w:ascii="宋体" w:hAnsi="宋体" w:cs="宋体"/>
          <w:sz w:val="24"/>
          <w:szCs w:val="24"/>
        </w:rPr>
      </w:pPr>
      <w:r>
        <w:rPr>
          <w:rFonts w:hint="eastAsia" w:ascii="宋体" w:hAnsi="宋体" w:cs="宋体"/>
        </w:rPr>
        <w:br w:type="page"/>
      </w:r>
      <w:bookmarkEnd w:id="27"/>
    </w:p>
    <w:p w14:paraId="5899406B">
      <w:pPr>
        <w:pStyle w:val="2"/>
        <w:jc w:val="center"/>
        <w:rPr>
          <w:rFonts w:ascii="宋体" w:hAnsi="宋体" w:cs="宋体"/>
          <w:b w:val="0"/>
          <w:sz w:val="30"/>
          <w:szCs w:val="30"/>
        </w:rPr>
      </w:pPr>
      <w:bookmarkStart w:id="28" w:name="_Toc27815"/>
      <w:bookmarkStart w:id="29" w:name="_Toc27002"/>
      <w:r>
        <w:rPr>
          <w:rFonts w:hint="eastAsia" w:ascii="宋体" w:hAnsi="宋体" w:cs="宋体"/>
          <w:b w:val="0"/>
          <w:sz w:val="32"/>
          <w:szCs w:val="32"/>
        </w:rPr>
        <w:t>第五章 采购需求</w:t>
      </w:r>
      <w:bookmarkEnd w:id="21"/>
      <w:bookmarkEnd w:id="28"/>
      <w:bookmarkEnd w:id="29"/>
    </w:p>
    <w:p w14:paraId="3B1576B0">
      <w:pPr>
        <w:pStyle w:val="3"/>
        <w:jc w:val="left"/>
        <w:rPr>
          <w:rFonts w:ascii="宋体" w:hAnsi="宋体" w:cs="宋体"/>
          <w:sz w:val="28"/>
          <w:szCs w:val="28"/>
        </w:rPr>
      </w:pPr>
      <w:r>
        <w:rPr>
          <w:rFonts w:hint="eastAsia" w:ascii="宋体" w:hAnsi="宋体" w:cs="宋体"/>
          <w:sz w:val="28"/>
          <w:szCs w:val="28"/>
        </w:rPr>
        <w:t>一、项目背景、概述</w:t>
      </w:r>
    </w:p>
    <w:p w14:paraId="69FD628F">
      <w:pPr>
        <w:ind w:firstLine="480" w:firstLineChars="200"/>
        <w:rPr>
          <w:rFonts w:ascii="宋体" w:hAnsi="宋体" w:cs="宋体"/>
        </w:rPr>
      </w:pPr>
      <w:r>
        <w:rPr>
          <w:rFonts w:hint="eastAsia" w:ascii="宋体" w:hAnsi="宋体" w:cs="宋体"/>
          <w:sz w:val="24"/>
          <w:szCs w:val="24"/>
        </w:rPr>
        <w:t>为配合我司项目工作开展，现需通过新增设施，为项目构建可靠的基础支撑环境，以满足用户使用需求。</w:t>
      </w:r>
    </w:p>
    <w:p w14:paraId="1C330752">
      <w:pPr>
        <w:pStyle w:val="3"/>
        <w:jc w:val="left"/>
        <w:rPr>
          <w:rFonts w:ascii="宋体" w:hAnsi="宋体" w:cs="宋体"/>
          <w:sz w:val="28"/>
          <w:szCs w:val="28"/>
        </w:rPr>
      </w:pPr>
      <w:bookmarkStart w:id="30" w:name="_Toc5291"/>
      <w:bookmarkStart w:id="31" w:name="_Toc263060410"/>
      <w:r>
        <w:rPr>
          <w:rFonts w:hint="eastAsia" w:ascii="宋体" w:hAnsi="宋体" w:cs="宋体"/>
          <w:sz w:val="28"/>
          <w:szCs w:val="28"/>
        </w:rPr>
        <w:t>二、采购内容</w:t>
      </w:r>
    </w:p>
    <w:p w14:paraId="5109CFBE">
      <w:pPr>
        <w:spacing w:line="360" w:lineRule="auto"/>
        <w:ind w:firstLine="361" w:firstLineChars="150"/>
        <w:rPr>
          <w:rFonts w:ascii="宋体" w:hAnsi="宋体" w:cs="宋体"/>
          <w:b/>
          <w:sz w:val="24"/>
          <w:szCs w:val="24"/>
        </w:rPr>
      </w:pPr>
      <w:r>
        <w:rPr>
          <w:rFonts w:ascii="宋体" w:hAnsi="宋体" w:cs="宋体"/>
          <w:b/>
          <w:sz w:val="24"/>
          <w:szCs w:val="24"/>
        </w:rPr>
        <w:t>（一）</w:t>
      </w:r>
      <w:r>
        <w:rPr>
          <w:rFonts w:hint="eastAsia" w:ascii="宋体" w:hAnsi="宋体" w:cs="宋体"/>
          <w:b/>
          <w:sz w:val="24"/>
          <w:szCs w:val="24"/>
        </w:rPr>
        <w:t>项目主要内容</w:t>
      </w:r>
    </w:p>
    <w:p w14:paraId="5D56469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项目主要内容：1.视频监控系统；2.出入口道闸；3.LED大屏</w:t>
      </w:r>
      <w:r>
        <w:rPr>
          <w:rFonts w:hint="eastAsia" w:asciiTheme="minorEastAsia" w:hAnsiTheme="minorEastAsia"/>
          <w:sz w:val="24"/>
          <w:szCs w:val="24"/>
          <w:lang w:val="en-US" w:eastAsia="zh-CN"/>
        </w:rPr>
        <w:t>等</w:t>
      </w:r>
      <w:r>
        <w:rPr>
          <w:rFonts w:ascii="宋体" w:hAnsi="宋体" w:cs="宋体"/>
          <w:color w:val="1F1F1F"/>
          <w:kern w:val="0"/>
          <w:sz w:val="24"/>
          <w:szCs w:val="21"/>
        </w:rPr>
        <w:t>。</w:t>
      </w:r>
    </w:p>
    <w:p w14:paraId="584C606A">
      <w:pPr>
        <w:spacing w:line="360" w:lineRule="auto"/>
        <w:ind w:firstLine="361" w:firstLineChars="15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highlight w:val="none"/>
        </w:rPr>
        <w:t>主要内容清单</w:t>
      </w:r>
    </w:p>
    <w:p w14:paraId="61A48056">
      <w:pPr>
        <w:spacing w:line="360" w:lineRule="auto"/>
        <w:ind w:firstLine="480" w:firstLineChars="200"/>
        <w:rPr>
          <w:rFonts w:hint="eastAsia" w:cs="微软雅黑" w:asciiTheme="minorEastAsia" w:hAnsiTheme="minorEastAsia" w:eastAsiaTheme="minorEastAsia"/>
          <w:sz w:val="24"/>
          <w:szCs w:val="24"/>
        </w:rPr>
      </w:pPr>
      <w:r>
        <w:rPr>
          <w:rFonts w:hint="eastAsia" w:cs="微软雅黑" w:asciiTheme="minorEastAsia" w:hAnsiTheme="minorEastAsia" w:eastAsiaTheme="minorEastAsia"/>
          <w:sz w:val="24"/>
          <w:szCs w:val="24"/>
        </w:rPr>
        <w:t>建设内容包括但不限于以下内容：</w:t>
      </w:r>
    </w:p>
    <w:tbl>
      <w:tblPr>
        <w:tblStyle w:val="7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1084"/>
        <w:gridCol w:w="712"/>
        <w:gridCol w:w="1890"/>
        <w:gridCol w:w="3440"/>
        <w:gridCol w:w="465"/>
        <w:gridCol w:w="466"/>
      </w:tblGrid>
      <w:tr w14:paraId="37A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49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163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1FB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029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C26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B6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52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2E2A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E8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一、视频监控系统</w:t>
            </w:r>
          </w:p>
        </w:tc>
      </w:tr>
      <w:tr w14:paraId="331A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D1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监控设备</w:t>
            </w:r>
          </w:p>
        </w:tc>
      </w:tr>
      <w:tr w14:paraId="622B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47528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E6E3E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防爆球机</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E9C9C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A7ED0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DS-2DF2404B-DX</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E7046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400万4倍防爆白光球机</w:t>
            </w:r>
          </w:p>
          <w:p w14:paraId="5E9659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支持最大2560×1440@30fps高清画面输出</w:t>
            </w:r>
          </w:p>
          <w:p w14:paraId="53EBFE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支持H.265高效压缩算法，可较大节省存储空间</w:t>
            </w:r>
          </w:p>
          <w:p w14:paraId="2193D9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支持超低照度，0.005Lux/F1.5(彩色),0.001Lux/F1.5(黑白) ,0 Lux with IR</w:t>
            </w:r>
          </w:p>
          <w:p w14:paraId="43C479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支持4倍光学变倍，16倍数字变倍</w:t>
            </w:r>
          </w:p>
          <w:p w14:paraId="712E6F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采用高效暖白光灯，使用寿命长，照射距离最远可达15 m</w:t>
            </w:r>
          </w:p>
          <w:p w14:paraId="0A4A1C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支持三码流技术，每路码流可独立配置分辨率及帧率</w:t>
            </w:r>
          </w:p>
          <w:p w14:paraId="1D9CD7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支持区域入侵侦测、越界侦测、移动侦测等智能侦测功能</w:t>
            </w:r>
          </w:p>
          <w:p w14:paraId="2A73CD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支持宽动态范围达120dB，适合逆光环境监控</w:t>
            </w:r>
          </w:p>
          <w:p w14:paraId="1F7CEA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支持3D数字降噪、强光抑制、SmartIR</w:t>
            </w:r>
          </w:p>
          <w:p w14:paraId="2EBA53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支持355°水平旋转，垂直方向0°-90°</w:t>
            </w:r>
          </w:p>
          <w:p w14:paraId="2B659E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支持300个预置位</w:t>
            </w:r>
          </w:p>
          <w:p w14:paraId="0DF372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支持定时抓图与事件抓图功能</w:t>
            </w:r>
          </w:p>
          <w:p w14:paraId="337C77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支持区域曝光与区域聚焦功能</w:t>
            </w:r>
          </w:p>
          <w:p w14:paraId="17357D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 PoE （802.3af）供电</w:t>
            </w:r>
          </w:p>
          <w:p w14:paraId="0892D3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支持海康SDK、开放型网络视频接口 、ISAPI、GB/T28181、E家协议</w:t>
            </w:r>
          </w:p>
          <w:p w14:paraId="6C2170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IP66/68，抗干扰能力强，适用于严酷的电磁环境，符合GB/T17626.2/3/4/5/6标准</w:t>
            </w:r>
          </w:p>
          <w:p w14:paraId="0D89FD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支持最大256GB的 Micro SD/Micro SDHC/Micro SDXC卡存储</w:t>
            </w:r>
          </w:p>
          <w:p w14:paraId="628ABA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传感器类型：1/2.8＂ progressive scan CMOS</w:t>
            </w:r>
          </w:p>
          <w:p w14:paraId="67CE65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最低照度：彩色：0.005 Lux @ (F1.5，AGC ON)；黑白：0.001 Lux @(F1.5，AGC ON)；0 Lux with IR          </w:t>
            </w:r>
          </w:p>
          <w:p w14:paraId="701A43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焦距：2.8~12 mm</w:t>
            </w:r>
          </w:p>
          <w:p w14:paraId="1DE8F4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视场角：94~32°(广角-望远)  </w:t>
            </w:r>
          </w:p>
          <w:p w14:paraId="0F949D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补光灯类型：白光补光</w:t>
            </w:r>
          </w:p>
          <w:p w14:paraId="5DFD0B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补光灯距离：最远可达15 m</w:t>
            </w:r>
          </w:p>
          <w:p w14:paraId="4D0E53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防补光过曝：支持 </w:t>
            </w:r>
          </w:p>
          <w:p w14:paraId="485A93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水平范围：0°~355°</w:t>
            </w:r>
          </w:p>
          <w:p w14:paraId="4C549A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垂直范围：30°~90°</w:t>
            </w:r>
          </w:p>
          <w:p w14:paraId="071944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水平速度：0.1°~100°/s，速度可设；水平预置点速度：100°/s</w:t>
            </w:r>
          </w:p>
          <w:p w14:paraId="3937EB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垂直速度：0.1°~60°/s，速度可设；垂直预置点速度：60°/s  </w:t>
            </w:r>
          </w:p>
          <w:p w14:paraId="7EFC2A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主码流帧率分辨率：50 Hz：25 fps (2560 × 1440，1920 × 1080，1280 × 960，1280 × 720) </w:t>
            </w:r>
          </w:p>
          <w:p w14:paraId="635D56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Hz：30 fps (2560 × 1440，1920 × 1080，1280 × 960，1280 × 720) </w:t>
            </w:r>
          </w:p>
          <w:p w14:paraId="01639F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视频压缩标准：H.265/H.264/MJPEG </w:t>
            </w:r>
          </w:p>
          <w:p w14:paraId="2E9FBB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宽动态：120 dB超宽动态 </w:t>
            </w:r>
          </w:p>
          <w:p w14:paraId="0C24E0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网络接口：RJ45网口，自适应10M/100M网络数据</w:t>
            </w:r>
          </w:p>
          <w:p w14:paraId="43C0B2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SD卡扩展：支持MicroSD/MicroSDHC/MicroSDXC卡，最大支持256 GB   </w:t>
            </w:r>
          </w:p>
          <w:p w14:paraId="3BCE86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恢复出厂设置：支持 </w:t>
            </w:r>
          </w:p>
          <w:p w14:paraId="071CB0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电源：DC：12 V，最大功耗9.6W</w:t>
            </w:r>
          </w:p>
          <w:p w14:paraId="543C50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PoE：PoE(802.3af) 36-57V|   0.35A</w:t>
            </w:r>
          </w:p>
          <w:p w14:paraId="1181F5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尺寸：207.8 × 191.7 mm</w:t>
            </w:r>
          </w:p>
          <w:p w14:paraId="0BF0C2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重量：3.27 kg</w:t>
            </w:r>
          </w:p>
          <w:p w14:paraId="5B33EA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材质：铝合金</w:t>
            </w:r>
          </w:p>
          <w:p w14:paraId="0DA8128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工作温湿度：-20 °C~60 °C，湿度小于95%（无凝结） </w:t>
            </w:r>
          </w:p>
          <w:p w14:paraId="0F34CF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防护：IP66/IP68（2 m/2 h）</w:t>
            </w:r>
          </w:p>
          <w:p w14:paraId="03E5FD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防爆：防爆标志：Ex db ⅡC T6 Gb/Ex tb ⅢC T80℃ Db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A8C91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14ECD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5385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09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CAF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349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CB5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iDS-2DF8425I-CX(T5CF)</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5B3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400万25倍防爆红外球机</w:t>
            </w:r>
          </w:p>
          <w:p w14:paraId="354AAA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防爆标志：Ex dbⅡC T6 Gb；Ex tb ⅢC T80℃ Db</w:t>
            </w:r>
          </w:p>
          <w:p w14:paraId="5F7A38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304不锈钢材质设计，防爆球机散热</w:t>
            </w:r>
          </w:p>
          <w:p w14:paraId="39EC93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采用高性能传感器，图像清晰</w:t>
            </w:r>
          </w:p>
          <w:p w14:paraId="25C7AA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400万像素逐行扫描 1/2.8" CMOS</w:t>
            </w:r>
          </w:p>
          <w:p w14:paraId="35812E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最大分辨率可达2560×1440</w:t>
            </w:r>
          </w:p>
          <w:p w14:paraId="70C5BA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彩色：0.005Lux @ (F1.6，AGC ON)；黑白：0.001Lux @(F1.6，AGC ON) ;0 Lux with  IR</w:t>
            </w:r>
          </w:p>
          <w:p w14:paraId="44AAD0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支持ICR红外滤片式自动切换</w:t>
            </w:r>
          </w:p>
          <w:p w14:paraId="610B4E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支持120dB超宽动态、3D降噪</w:t>
            </w:r>
          </w:p>
          <w:p w14:paraId="69A44B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支持H.265编码</w:t>
            </w:r>
          </w:p>
          <w:p w14:paraId="5C5730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支持掉电记忆、断网续传</w:t>
            </w:r>
          </w:p>
          <w:p w14:paraId="08CAC1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焦距4.8 mm~120 mm，25倍光学变倍</w:t>
            </w:r>
          </w:p>
          <w:p w14:paraId="7192FF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支持3D定位，可通过鼠标框选目标以实现目标的快速定位与捕捉</w:t>
            </w:r>
          </w:p>
          <w:p w14:paraId="5F65DE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支持360°水平旋转，垂直方向0°~90°</w:t>
            </w:r>
          </w:p>
          <w:p w14:paraId="38E12F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支持定时任务、一键守望、一键巡航功能</w:t>
            </w:r>
          </w:p>
          <w:p w14:paraId="68A9CE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采用高效补光阵列，低功耗，红外补光100m</w:t>
            </w:r>
          </w:p>
          <w:p w14:paraId="026E3E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支持磁编位置记忆功能，异常震动等导致球体偏移后能自动回到之前的监控场景</w:t>
            </w:r>
          </w:p>
          <w:p w14:paraId="5C7C054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474C81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传感器类型：1/2.8＂ progressive scan CMOS</w:t>
            </w:r>
          </w:p>
          <w:p w14:paraId="7AF262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最低照度：  彩色：0.005Lux @ (F1.6，AGC ON)；黑白：0.001Lux @(F1.6，AGC ON) ；0 Lux with IR </w:t>
            </w:r>
          </w:p>
          <w:p w14:paraId="3268D9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焦距：4.8 mm~ 120mm, 25倍光学变倍</w:t>
            </w:r>
          </w:p>
          <w:p w14:paraId="18E1DD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视场角：水平55°~3°(广角-望远)，垂直30.6°~1.5°(广角-望远) </w:t>
            </w:r>
          </w:p>
          <w:p w14:paraId="71AF8F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补光灯类型：红外</w:t>
            </w:r>
          </w:p>
          <w:p w14:paraId="6F714E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补光灯距离：100m </w:t>
            </w:r>
          </w:p>
          <w:p w14:paraId="39F352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水平范围：水平0~360°连续旋转</w:t>
            </w:r>
          </w:p>
          <w:p w14:paraId="17DAC9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垂直范围：0°～ +90°</w:t>
            </w:r>
          </w:p>
          <w:p w14:paraId="016E33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水平速度：水平键控速度：0.1°~70°/s,速度可设，水平预置点速度：70°/s,</w:t>
            </w:r>
          </w:p>
          <w:p w14:paraId="4AE040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垂直速度：垂直键控速度：0.1°~50°/s,速度可设，垂直预置点速度：50°/s  </w:t>
            </w:r>
          </w:p>
          <w:p w14:paraId="31891B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主码流帧率分辨率：50 Hz: 25 fps (2560 × 1440, 1920 × 1080, 1280 × 960, 1280 × 720)</w:t>
            </w:r>
          </w:p>
          <w:p w14:paraId="74ACA6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Hz: 30 fps (2560 × 1440, 1920 × 1080, 1280 × 960, 1280 × 720) </w:t>
            </w:r>
          </w:p>
          <w:p w14:paraId="12F203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视频压缩标准：H.265/H.264/MJPEG/smart264/smart265 </w:t>
            </w:r>
          </w:p>
          <w:p w14:paraId="20C8D5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网络接口：内置RJ45网口（支持10M/100M网络数据）</w:t>
            </w:r>
          </w:p>
          <w:p w14:paraId="18D702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SD卡扩展：支持Micro SD/Micro SDHC/Micro SDXC卡，最大支持256G</w:t>
            </w:r>
          </w:p>
          <w:p w14:paraId="1D9A02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音频：1进1出</w:t>
            </w:r>
          </w:p>
          <w:p w14:paraId="66813A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报警：2进1出 </w:t>
            </w:r>
          </w:p>
          <w:p w14:paraId="10336D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RS-485：支持</w:t>
            </w:r>
          </w:p>
          <w:p w14:paraId="61A18C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光纤接口：FC接口，内置光纤模块，100M网络数据，波长TX1310/RX1550nm，单模单纤，20km传输距离 </w:t>
            </w:r>
          </w:p>
          <w:p w14:paraId="21DF8E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电源：AC：100 V~240 V，60 W Max</w:t>
            </w:r>
          </w:p>
          <w:p w14:paraId="5A1D75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尺寸：427.5mm*261mm*367.1mm </w:t>
            </w:r>
          </w:p>
          <w:p w14:paraId="4A0BF8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重量：15.6 kg</w:t>
            </w:r>
          </w:p>
          <w:p w14:paraId="441FAC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材质：SUS304</w:t>
            </w:r>
          </w:p>
          <w:p w14:paraId="6BC5C8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工作温湿度：-40° C~60 ° C, 湿度小于95%RH(无凝结) </w:t>
            </w:r>
          </w:p>
          <w:p w14:paraId="132207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防护：IP66/IP68(2m/2h）；TVS 4000V 防雷、防浪涌、防突波，符合GB/T17626.5 四级标准</w:t>
            </w:r>
          </w:p>
          <w:p w14:paraId="077600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防爆：防爆标志：Ex dbⅡC T6 Gb；Ex tb ⅢC T80°C 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44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6B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30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B3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448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防爆摄像枪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E27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C4C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DS-2XE6049FWD-DXZS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B4B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400万防爆变焦筒型摄像机</w:t>
            </w:r>
          </w:p>
          <w:p w14:paraId="6E025B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防爆标志：Ex db IIC T6 Gb/Ex tb IIIC T80℃ Db</w:t>
            </w:r>
          </w:p>
          <w:p w14:paraId="219254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防护等级：IP66/68（2m2h）</w:t>
            </w:r>
          </w:p>
          <w:p w14:paraId="46A221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最高分辨率可达2688 × 1520 @25 fps</w:t>
            </w:r>
          </w:p>
          <w:p w14:paraId="4ABB52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Smart编码：支持低码率、低延时、ROI感兴趣区域增强编码，支持Smart265编码，可根据场景情况自适应调整码率分配，有效节省存储成本</w:t>
            </w:r>
          </w:p>
          <w:p w14:paraId="7C8AB4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高效双色补光灯，使用寿命长</w:t>
            </w:r>
          </w:p>
          <w:p w14:paraId="780067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ICR红外滤片式自动切换，实现真正的日夜监控</w:t>
            </w:r>
          </w:p>
          <w:p w14:paraId="573EEE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支持DC 12V和PoE供电功能</w:t>
            </w:r>
          </w:p>
          <w:p w14:paraId="48D104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支持开放型网络视频接口，ISAPI，GB28181，Ehome协议接入，支持萤石平台接入</w:t>
            </w:r>
          </w:p>
          <w:p w14:paraId="5C3904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p>
          <w:p w14:paraId="37D932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传感器类型：1/2.7" Progressive Scan CMOS</w:t>
            </w:r>
          </w:p>
          <w:p w14:paraId="56C95F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最低照度：彩色：0.005 Lux @（F1.2，AGC ON），0 Lux with Light</w:t>
            </w:r>
          </w:p>
          <w:p w14:paraId="6AB1D2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黑白：0.002 Lux @（F1.2，AGC ON），0 Lux with IR </w:t>
            </w:r>
          </w:p>
          <w:p w14:paraId="28AAD5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焦距&amp;视场角：2.8~12 mm @F1.2，水平视场角：95°~31.3°，垂直视场角：50.9°~17.6°，对角视场角：112.1°~36.1° </w:t>
            </w:r>
          </w:p>
          <w:p w14:paraId="40C0C6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补光距离：普通监控：30米</w:t>
            </w:r>
          </w:p>
          <w:p w14:paraId="513BE2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人脸抓拍：7米</w:t>
            </w:r>
          </w:p>
          <w:p w14:paraId="4F3774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补光灯类型：支持白光、红外（850nm）双色补光 </w:t>
            </w:r>
          </w:p>
          <w:p w14:paraId="791C50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最大分辨率：2688 × 1520</w:t>
            </w:r>
          </w:p>
          <w:p w14:paraId="1131CB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视频压缩标准：主码流：H.265/H.264</w:t>
            </w:r>
          </w:p>
          <w:p w14:paraId="45BE6B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子码流：H.265/H.264/MJPEG </w:t>
            </w:r>
          </w:p>
          <w:p w14:paraId="65A12B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网络：1个RJ45 10 M/100 M自适应以太网口</w:t>
            </w:r>
          </w:p>
          <w:p w14:paraId="625DE4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音频：1路输入，1路输出</w:t>
            </w:r>
          </w:p>
          <w:p w14:paraId="7BEE57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报警：1路输入，1路输出（报警输出最大支持DC24 V，1 A）</w:t>
            </w:r>
          </w:p>
          <w:p w14:paraId="0D298B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电源输出：DC12 V，100 mA，建议用于拾音器供电 </w:t>
            </w:r>
          </w:p>
          <w:p w14:paraId="12F77C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产品尺寸：245.0 × 195.4 × 184.3 mm</w:t>
            </w:r>
          </w:p>
          <w:p w14:paraId="497B6E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设备重量：3300 g</w:t>
            </w:r>
          </w:p>
          <w:p w14:paraId="0CB8E7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启动和工作温湿度：-30 °C~60 °C，湿度小于95%（无凝结）</w:t>
            </w:r>
          </w:p>
          <w:p w14:paraId="1B62D6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包装尺寸：430 ×250 × 275 mm</w:t>
            </w:r>
          </w:p>
          <w:p w14:paraId="7774CD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电流及功耗：DC：12 V，1.1 A，最大功耗：13.2 W</w:t>
            </w:r>
          </w:p>
          <w:p w14:paraId="5D2BD8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PoE：802.3at，42.5 V~57 V，0.35 A~0.25 A，最大功耗：15 W</w:t>
            </w:r>
          </w:p>
          <w:p w14:paraId="747CE2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电源接口类型：三芯接口</w:t>
            </w:r>
          </w:p>
          <w:p w14:paraId="6969B2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带包装重量：4400 g</w:t>
            </w:r>
          </w:p>
          <w:p w14:paraId="42B27E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供电方式：DC：12 V ± 20%；PoE：802.3at </w:t>
            </w:r>
          </w:p>
          <w:p w14:paraId="37D03A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防护：IP66/68(2m2h)</w:t>
            </w:r>
          </w:p>
          <w:p w14:paraId="105F7F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防爆标志：Ex db IIC T6 Gb/Ex tb IIIC T80°C Db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48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BF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4874CB"/>
                <w:sz w:val="20"/>
                <w:szCs w:val="20"/>
                <w:u w:val="none"/>
              </w:rPr>
            </w:pPr>
            <w:r>
              <w:rPr>
                <w:rFonts w:hint="eastAsia" w:ascii="宋体" w:hAnsi="宋体" w:eastAsia="宋体" w:cs="宋体"/>
                <w:i w:val="0"/>
                <w:iCs w:val="0"/>
                <w:color w:val="4874CB"/>
                <w:kern w:val="0"/>
                <w:sz w:val="20"/>
                <w:szCs w:val="20"/>
                <w:u w:val="none"/>
                <w:lang w:val="en-US" w:eastAsia="zh-CN" w:bidi="ar"/>
              </w:rPr>
              <w:t>57</w:t>
            </w:r>
          </w:p>
        </w:tc>
      </w:tr>
      <w:tr w14:paraId="5E4A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2B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375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智能球型摄像机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47C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048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DS-2DE7423IW-D(G)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9FA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7寸400万23倍网络红外球机</w:t>
            </w:r>
          </w:p>
          <w:p w14:paraId="6C06D5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支持区域入侵侦测，越界侦测，进入区域侦测和离开区域侦等智能侦测并联动跟踪</w:t>
            </w:r>
          </w:p>
          <w:p w14:paraId="4BD473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采用高效补光阵列，低功耗，红外补光150 m</w:t>
            </w:r>
          </w:p>
          <w:p w14:paraId="1AD167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内置加热玻璃，有效除雾</w:t>
            </w:r>
          </w:p>
          <w:p w14:paraId="4EEAF6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支持超低照度，0.005 Lux @F1.6（彩色），0.001 Lux @F1.6（黑白），0 Lux with IR</w:t>
            </w:r>
          </w:p>
          <w:p w14:paraId="613499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支持23倍光学变倍，16倍数字变倍</w:t>
            </w:r>
          </w:p>
          <w:p w14:paraId="609642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支持三码流技术，每路码流可独立配置分辨率及帧率</w:t>
            </w:r>
          </w:p>
          <w:p w14:paraId="6A256A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支持3D数字降噪，支持真宽动态</w:t>
            </w:r>
          </w:p>
          <w:p w14:paraId="12775A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支持定时抓图与事件抓图功能</w:t>
            </w:r>
          </w:p>
          <w:p w14:paraId="575288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支持定时任务，一键守望，一键巡航功能</w:t>
            </w:r>
          </w:p>
          <w:p w14:paraId="5B362C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支持海康SDK，开放型网络视频接口，ISAPI，GB/T28181，ISUP，萤石</w:t>
            </w:r>
          </w:p>
          <w:p w14:paraId="634972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支持两进一出报警，一进一出音频，最大支持512 GB MicroSD卡存储</w:t>
            </w:r>
          </w:p>
          <w:p w14:paraId="6E08B0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IP66，抗干扰能力强，适用于严酷的电磁环境，符合GB/T17626.2/3/4/5/6四级标准</w:t>
            </w:r>
          </w:p>
          <w:p w14:paraId="297603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39D44B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传感器类型：1/2.8＂ progressive scan CMOS</w:t>
            </w:r>
          </w:p>
          <w:p w14:paraId="298CED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最低照度：彩色：0.005Lux @ (F1.6，AGC ON)；黑白：0.001Lux @(F1.6，AGC ON) ；0 Lux with IR</w:t>
            </w:r>
          </w:p>
          <w:p w14:paraId="0F568C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宽动态：支持真宽动态 </w:t>
            </w:r>
          </w:p>
          <w:p w14:paraId="3DA891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焦距：4.8 mm~110 mm，23倍光学变倍 </w:t>
            </w:r>
          </w:p>
          <w:p w14:paraId="44E2E4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视场角：水平视场角：55°~2.7°（广角~望远）</w:t>
            </w:r>
          </w:p>
          <w:p w14:paraId="54ABD6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垂直视场角：33°~1.5°（广角~望远） </w:t>
            </w:r>
          </w:p>
          <w:p w14:paraId="3E36B9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对角视场角：61.5°~3.1°（广角~望远） </w:t>
            </w:r>
          </w:p>
          <w:p w14:paraId="1BE008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补光灯类型：红外补光</w:t>
            </w:r>
          </w:p>
          <w:p w14:paraId="74F8AD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红外照射距离：150 m </w:t>
            </w:r>
          </w:p>
          <w:p w14:paraId="614148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水平范围：360°</w:t>
            </w:r>
          </w:p>
          <w:p w14:paraId="50E6E0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垂直范围：-15°-90°(自动翻转)</w:t>
            </w:r>
          </w:p>
          <w:p w14:paraId="206DB9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水平速度：水平键控速度：0.1°-160°/s,速度可设;水平预置点速度：240°/s</w:t>
            </w:r>
          </w:p>
          <w:p w14:paraId="1A5257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垂直速度：垂直键控速度：0.1°-120°/s,速度可设;垂直预置点速度：200°/s </w:t>
            </w:r>
          </w:p>
          <w:p w14:paraId="02671D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主码流帧率分辨率：50 Hz：25 fps（2560 × 1440，1920 × 1080，1280 × 960，1280 × 720）</w:t>
            </w:r>
          </w:p>
          <w:p w14:paraId="451082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Hz：30 fps（2560 × 1440，1920 × 1080，1280 × 960，1280 × 720）  </w:t>
            </w:r>
          </w:p>
          <w:p w14:paraId="651B0A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视频压缩标准：H.265;H.264;MJPEG </w:t>
            </w:r>
          </w:p>
          <w:p w14:paraId="5BD67E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网络接口：RJ45网口，自适应10 M/100 M网络数据</w:t>
            </w:r>
          </w:p>
          <w:p w14:paraId="2D126A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SD卡扩展：支持MicroSD/MicroSDHC/MicroSDXC卡，最大支持512 GB</w:t>
            </w:r>
          </w:p>
          <w:p w14:paraId="025628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报警：2路报警输入，1路报警输出</w:t>
            </w:r>
          </w:p>
          <w:p w14:paraId="30277D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音频：1路音频输入，音频峰值：2-2.4 V[p-p]，输入阻抗：1 kΩ±10%</w:t>
            </w:r>
          </w:p>
          <w:p w14:paraId="074EEC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1路音频输出，线性电平，阻抗:600 Ω </w:t>
            </w:r>
          </w:p>
          <w:p w14:paraId="6210EE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供电方式：DC36V</w:t>
            </w:r>
          </w:p>
          <w:p w14:paraId="58BB20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电流及功耗：最大功耗：24 W（其中除雾加热1.6 W，补光灯12 W）</w:t>
            </w:r>
          </w:p>
          <w:p w14:paraId="390153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工作温湿度：-30℃-65℃;湿度小于90%</w:t>
            </w:r>
          </w:p>
          <w:p w14:paraId="470AE0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恢复出厂设置：支持</w:t>
            </w:r>
          </w:p>
          <w:p w14:paraId="072693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除雾：加热玻璃除雾</w:t>
            </w:r>
          </w:p>
          <w:p w14:paraId="1FF0B3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尺寸：Ø220 mm × 353.4 mm </w:t>
            </w:r>
          </w:p>
          <w:p w14:paraId="64D2CC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重量：4.5 kg </w:t>
            </w:r>
          </w:p>
          <w:p w14:paraId="701136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防护：IP66; 6000V 防雷、防浪涌、防突波，符合GB/T17626.2/3/4/5/6四级标准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C4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A7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3BFB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36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B8B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高清摄像枪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3C5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DB6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DS-2CD2245CV8-L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AB8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400万筒型网络摄像机</w:t>
            </w:r>
          </w:p>
          <w:p w14:paraId="5B55CB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最高分辨率可达2560 × 1440 @25 fps</w:t>
            </w:r>
          </w:p>
          <w:p w14:paraId="105A7B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支持SmartIR，防止夜间红外过曝</w:t>
            </w:r>
          </w:p>
          <w:p w14:paraId="7DC103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支持背光补偿，强光抑制，3D数字降噪，数字宽动态，适应不同使用环境</w:t>
            </w:r>
          </w:p>
          <w:p w14:paraId="44624A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支持开放型网络视频接口，ISAPI，SDK，GB28181协议，支持萤石平台接入</w:t>
            </w:r>
          </w:p>
          <w:p w14:paraId="4870E3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1个内置麦克风</w:t>
            </w:r>
          </w:p>
          <w:p w14:paraId="13C4A5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智能补光，支持白光/红外双补光，红外光最远可达50 m，白光最远可达30 m</w:t>
            </w:r>
          </w:p>
          <w:p w14:paraId="51F98B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符合IP67防尘防水设计，可靠性高</w:t>
            </w:r>
          </w:p>
          <w:p w14:paraId="1E7748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传感器类型：1/2.7" Progressive Scan CMOS</w:t>
            </w:r>
          </w:p>
          <w:p w14:paraId="3945A6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最低照度：彩色：0.005 Lux </w:t>
            </w:r>
          </w:p>
          <w:p w14:paraId="18D2D6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宽动态：数字宽动态 </w:t>
            </w:r>
          </w:p>
          <w:p w14:paraId="0E4435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焦距&amp;视场角：4 mm，水平视场角：70°，垂直视场角：35°，对角视场角：85°</w:t>
            </w:r>
          </w:p>
          <w:p w14:paraId="2942A4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mm，水平视场角：46°，垂直视场角：24°，对角视场角：54°</w:t>
            </w:r>
          </w:p>
          <w:p w14:paraId="563E2C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 mm，水平视场角：43°，垂直视场角：24°，对角视场角：50°</w:t>
            </w:r>
          </w:p>
          <w:p w14:paraId="3468E8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mm，水平视场角：27°，垂直视场角：15°，对角视场角：31°  </w:t>
            </w:r>
          </w:p>
          <w:p w14:paraId="044663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红外波长范围：850 nm</w:t>
            </w:r>
          </w:p>
          <w:p w14:paraId="2B13CA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防补光过曝：支持</w:t>
            </w:r>
          </w:p>
          <w:p w14:paraId="798C93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补光灯类型：智能补光，可切换白光灯、红外灯</w:t>
            </w:r>
          </w:p>
          <w:p w14:paraId="34739B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补光距离：红外光最远可达50 m，白光最远可达30 m  </w:t>
            </w:r>
          </w:p>
          <w:p w14:paraId="75C180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最大分辨率：2560 × 1440</w:t>
            </w:r>
          </w:p>
          <w:p w14:paraId="414A1B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视频压缩标准：主码流：H.265/H.264/Smart264/Smart265</w:t>
            </w:r>
          </w:p>
          <w:p w14:paraId="1BB7D9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子码流：H.265/H.264 </w:t>
            </w:r>
          </w:p>
          <w:p w14:paraId="268C81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音频：1个内置麦克风</w:t>
            </w:r>
          </w:p>
          <w:p w14:paraId="3183ED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网络：1个RJ45 10 M/100 M自适应以太网口 </w:t>
            </w:r>
          </w:p>
          <w:p w14:paraId="4CC91E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启动及工作温湿度：-30 ℃~60 ℃，湿度小于95%（无凝结）</w:t>
            </w:r>
          </w:p>
          <w:p w14:paraId="23F3F5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存储温湿度：-30 ℃~60 ℃，湿度小于95%（无凝结）</w:t>
            </w:r>
          </w:p>
          <w:p w14:paraId="4801AF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恢复出厂设置：支持客户端或浏览器恢复</w:t>
            </w:r>
          </w:p>
          <w:p w14:paraId="386847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供电方式：DC：12 V ± 25%，支持防反接保护</w:t>
            </w:r>
          </w:p>
          <w:p w14:paraId="44BC20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PoE：IEEE 802.3af，Class 3</w:t>
            </w:r>
          </w:p>
          <w:p w14:paraId="2F0176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电流及功耗：DC：12 V，0.42 A，最大功耗：5 W</w:t>
            </w:r>
          </w:p>
          <w:p w14:paraId="22F2C7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PoE：IEEE 802.3af，CLASS 3，最大功耗：6.5 W</w:t>
            </w:r>
          </w:p>
          <w:p w14:paraId="3FD2F4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电源接口类型：Ø5.5 mm圆口</w:t>
            </w:r>
          </w:p>
          <w:p w14:paraId="0E74A9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产品尺寸：87.1 × 83.7 × 171.7 mm</w:t>
            </w:r>
          </w:p>
          <w:p w14:paraId="46447A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包装尺寸：216 × 121 × 118 mm</w:t>
            </w:r>
          </w:p>
          <w:p w14:paraId="527E58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设备重量：360 g</w:t>
            </w:r>
          </w:p>
          <w:p w14:paraId="736AAA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带包装重量：540 g </w:t>
            </w:r>
          </w:p>
          <w:p w14:paraId="4FC9CA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防护：IP67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14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91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4874CB"/>
                <w:sz w:val="20"/>
                <w:szCs w:val="20"/>
                <w:u w:val="none"/>
              </w:rPr>
            </w:pPr>
            <w:r>
              <w:rPr>
                <w:rFonts w:hint="eastAsia" w:ascii="宋体" w:hAnsi="宋体" w:eastAsia="宋体" w:cs="宋体"/>
                <w:i w:val="0"/>
                <w:iCs w:val="0"/>
                <w:color w:val="4874CB"/>
                <w:kern w:val="0"/>
                <w:sz w:val="20"/>
                <w:szCs w:val="20"/>
                <w:u w:val="none"/>
                <w:lang w:val="en-US" w:eastAsia="zh-CN" w:bidi="ar"/>
              </w:rPr>
              <w:t>228</w:t>
            </w:r>
          </w:p>
        </w:tc>
      </w:tr>
      <w:tr w14:paraId="3071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CA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ACF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高清半球摄像机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195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B11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DS-2CD2345CV5-L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C6E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400万海螺型网络摄像机</w:t>
            </w:r>
          </w:p>
          <w:p w14:paraId="7567EE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最高分辨率可达2560 × 1440 @25 fps</w:t>
            </w:r>
          </w:p>
          <w:p w14:paraId="2B1E62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支持SmartIR，防止夜间红外过曝</w:t>
            </w:r>
          </w:p>
          <w:p w14:paraId="3114DF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支持背光补偿，强光抑制，3D数字降噪，数字宽动态，适应不同环境</w:t>
            </w:r>
          </w:p>
          <w:p w14:paraId="7BC9A1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支持开放型网络视频接口，ISAPI，SDK，GB28181协议，支持萤石平台接入</w:t>
            </w:r>
          </w:p>
          <w:p w14:paraId="741981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1个内置麦克风</w:t>
            </w:r>
          </w:p>
          <w:p w14:paraId="35546F8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智能补光，支持白光/红外双补光，红外光最远可达30 m，白光最远可达20 m</w:t>
            </w:r>
          </w:p>
          <w:p w14:paraId="46CD35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符合IP67防尘防水设计，可靠性高</w:t>
            </w:r>
          </w:p>
          <w:p w14:paraId="150467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传感器类型：1/2.7" Progressive Scan CMOS</w:t>
            </w:r>
          </w:p>
          <w:p w14:paraId="16E9C5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最低照度：彩色：0.005 Lux </w:t>
            </w:r>
          </w:p>
          <w:p w14:paraId="2039BCE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宽动态：数字宽动态</w:t>
            </w:r>
          </w:p>
          <w:p w14:paraId="674E4D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调节角度：水平：0°~360°，垂直：0°~75°，旋转：0°~360° </w:t>
            </w:r>
          </w:p>
          <w:p w14:paraId="306874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焦距&amp;视场角：2.8 mm：水平视场角：94°，垂直视场角：49°，对角视场角：114°</w:t>
            </w:r>
          </w:p>
          <w:p w14:paraId="7557A6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mm，水平视场角：70°，垂直视场角：35°，对角视场角：85°</w:t>
            </w:r>
          </w:p>
          <w:p w14:paraId="19024A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mm，水平视场角：46°，垂直视场角：24°，对角视场角：54°</w:t>
            </w:r>
          </w:p>
          <w:p w14:paraId="69AF70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mm，水平视场角：43°，垂直视场角：24°，对角视场角：50°  </w:t>
            </w:r>
          </w:p>
          <w:p w14:paraId="55F4AF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红外波长范围：850 nm</w:t>
            </w:r>
          </w:p>
          <w:p w14:paraId="541CAA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防补光过曝：支持</w:t>
            </w:r>
          </w:p>
          <w:p w14:paraId="76F62B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补光灯类型：智能补光，可切换白光灯、红外灯</w:t>
            </w:r>
          </w:p>
          <w:p w14:paraId="2691D3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补光距离：红外光最远可达30 m，白光最远可达20 m  </w:t>
            </w:r>
          </w:p>
          <w:p w14:paraId="400E5A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最大分辨率：2560 × 1440</w:t>
            </w:r>
          </w:p>
          <w:p w14:paraId="0B8EE9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视频压缩标准：主码流：H.265/H.264/Smart264/Smart265</w:t>
            </w:r>
          </w:p>
          <w:p w14:paraId="0D5B9A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子码流：H.265/H.264 </w:t>
            </w:r>
          </w:p>
          <w:p w14:paraId="5A0728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音频：1个内置麦克风</w:t>
            </w:r>
          </w:p>
          <w:p w14:paraId="35E04B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网络：1个RJ45 10 M/100 M自适应以太网口 </w:t>
            </w:r>
          </w:p>
          <w:p w14:paraId="6E787A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存储温湿度：-30 ℃~60 ℃，湿度小于95%（无凝结）</w:t>
            </w:r>
          </w:p>
          <w:p w14:paraId="410FE8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启动及工作温湿度：-30 ℃~60 ℃，湿度小于95%（无凝结）</w:t>
            </w:r>
          </w:p>
          <w:p w14:paraId="5B85DD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恢复出厂设置：支持客户端或浏览器恢复</w:t>
            </w:r>
          </w:p>
          <w:p w14:paraId="593EFA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供电方式：DC：12 V ± 25%，支持防反接保护</w:t>
            </w:r>
          </w:p>
          <w:p w14:paraId="33411D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PoE：IEEE 802.3af，CLASS 3</w:t>
            </w:r>
          </w:p>
          <w:p w14:paraId="709CB0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电流及功耗：DC：12 V，0.42 A，最大功耗：5 W</w:t>
            </w:r>
          </w:p>
          <w:p w14:paraId="61A938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 IEEE 802.3af，CLASS 3，最大功耗：6.5 W</w:t>
            </w:r>
          </w:p>
          <w:p w14:paraId="29812A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电源接口类型：Ø5.5 mm圆口</w:t>
            </w:r>
          </w:p>
          <w:p w14:paraId="5E34E1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产品尺寸：Ø110 × 93 mm</w:t>
            </w:r>
          </w:p>
          <w:p w14:paraId="11693F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包装尺寸：145 × 145 × 128 mm</w:t>
            </w:r>
          </w:p>
          <w:p w14:paraId="3107E6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设备重量：290 g</w:t>
            </w:r>
          </w:p>
          <w:p w14:paraId="7087DA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带包装重量：460 g </w:t>
            </w:r>
          </w:p>
          <w:p w14:paraId="731820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防护：IP67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D7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81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4874CB"/>
                <w:sz w:val="20"/>
                <w:szCs w:val="20"/>
                <w:u w:val="none"/>
              </w:rPr>
            </w:pPr>
            <w:r>
              <w:rPr>
                <w:rFonts w:hint="eastAsia" w:ascii="宋体" w:hAnsi="宋体" w:eastAsia="宋体" w:cs="宋体"/>
                <w:i w:val="0"/>
                <w:iCs w:val="0"/>
                <w:color w:val="4874CB"/>
                <w:kern w:val="0"/>
                <w:sz w:val="20"/>
                <w:szCs w:val="20"/>
                <w:u w:val="none"/>
                <w:lang w:val="en-US" w:eastAsia="zh-CN" w:bidi="ar"/>
              </w:rPr>
              <w:t>52</w:t>
            </w:r>
          </w:p>
        </w:tc>
      </w:tr>
      <w:tr w14:paraId="43FF1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AC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755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周界摄像枪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9C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FED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DS-2CD2T46CFWDA4-LS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6E20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400万定焦智能筒型网络摄像机</w:t>
            </w:r>
          </w:p>
          <w:p w14:paraId="2FEA65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最高分辨率可达2560 × 1440 @25 fps，在该分辨率下可输出实时图像</w:t>
            </w:r>
          </w:p>
          <w:p w14:paraId="70497D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支持背光补偿，强光抑制，3D数字降噪，数字宽动态，适应不同环境</w:t>
            </w:r>
          </w:p>
          <w:p w14:paraId="09EE84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支持白光/红外双补光，红外光最远可达50 m，白光最远可达30 m</w:t>
            </w:r>
          </w:p>
          <w:p w14:paraId="2AFFF3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支持开放型网络视频接口，ISAPI，SDK，GB28181，萤石云协议接入</w:t>
            </w:r>
          </w:p>
          <w:p w14:paraId="1C6DC9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支持多种事件检测和异常侦测，支持智能警戒，支持联动声音报警</w:t>
            </w:r>
          </w:p>
          <w:p w14:paraId="4F91B9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支持H.265/H.264/MJPEG视频压缩算法，支持多级别视频质量配置、编码复杂度设置</w:t>
            </w:r>
          </w:p>
          <w:p w14:paraId="771707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支持ROI感兴趣区域增强编码，支持Smart265/264编码，可根据场景情况自适应调整码率分配，有效节省存储成本</w:t>
            </w:r>
          </w:p>
          <w:p w14:paraId="31A78B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1个内置麦克风，1个内置扬声器，支持双向语音对讲</w:t>
            </w:r>
          </w:p>
          <w:p w14:paraId="1ED73A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支持1路报警输入，1路报警输出（报警输出最大支持DC24 V，1 A或AC24 V，1 A），1路音频输入，1路音频输出</w:t>
            </w:r>
          </w:p>
          <w:p w14:paraId="2A2C3D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支持最大256 GB MicroSD/MicroSDHC/MicroSDXC卡本地存储</w:t>
            </w:r>
          </w:p>
          <w:p w14:paraId="0ACEB9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支持DC12 V，100 mA电源输出，用于拾音器供电；支持PoE供电功能</w:t>
            </w:r>
          </w:p>
          <w:p w14:paraId="1CF2E1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符合IP67防尘防水设计，可靠性高</w:t>
            </w:r>
          </w:p>
          <w:p w14:paraId="1976E3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传感器类型：1/3" Progressive Scan CMOS</w:t>
            </w:r>
          </w:p>
          <w:p w14:paraId="64613C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最低照度：彩色：0.005 Lux @（F1.2，AGC ON），0 Lux with Light</w:t>
            </w:r>
          </w:p>
          <w:p w14:paraId="0758B1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最大图像尺寸：2560 × 1440</w:t>
            </w:r>
          </w:p>
          <w:p w14:paraId="44634F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宽动态：120 dB </w:t>
            </w:r>
          </w:p>
          <w:p w14:paraId="7500B3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焦距&amp;视场角：4 mm，水平视场角：83.7°，垂直视场角：43°，对角视场角：100.3°</w:t>
            </w:r>
          </w:p>
          <w:p w14:paraId="746EFC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mm，水平视场角：51.8°，垂直视场角：27.9°，对角视场角：60.5°</w:t>
            </w:r>
          </w:p>
          <w:p w14:paraId="194DFD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mm，水平视场角：39.4°，垂直视场角：21.8°，对角视场角：45.7° </w:t>
            </w:r>
          </w:p>
          <w:p w14:paraId="546238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补光灯类型：支持白光，红外补光</w:t>
            </w:r>
          </w:p>
          <w:p w14:paraId="3054D3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补光距离：红外光最远可达50 m，白光最远可达30 m</w:t>
            </w:r>
          </w:p>
          <w:p w14:paraId="486716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红外波长范围：850 nm </w:t>
            </w:r>
          </w:p>
          <w:p w14:paraId="7B8BE3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最大图像尺寸：2688 × 1520</w:t>
            </w:r>
          </w:p>
          <w:p w14:paraId="3699AE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视频压缩标准：主码流：H.265/H.264</w:t>
            </w:r>
          </w:p>
          <w:p w14:paraId="00ACCA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子码流：H.265/H.264/MJPEG</w:t>
            </w:r>
          </w:p>
          <w:p w14:paraId="2B2509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第三码流：H.265/H.264 </w:t>
            </w:r>
          </w:p>
          <w:p w14:paraId="7C1C46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SD卡扩展：内置MicroSD/MicroSDHC/MicroSDXC插槽，最大支持512 GB</w:t>
            </w:r>
          </w:p>
          <w:p w14:paraId="71FF94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内置麦克风：1个内置麦克风</w:t>
            </w:r>
          </w:p>
          <w:p w14:paraId="6A1921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内置扬声器：1个内置扬声器</w:t>
            </w:r>
          </w:p>
          <w:p w14:paraId="64AA34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音频：1路输入（Line in），最大输入幅值：3.3 Vpp，输入阻抗：4.7 kΩ，接口类型：非平衡</w:t>
            </w:r>
          </w:p>
          <w:p w14:paraId="79A519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1路输出（Line out），最大输出幅值：3.3 Vpp，输出阻抗：100 Ω，接口类型：非平衡</w:t>
            </w:r>
          </w:p>
          <w:p w14:paraId="10F983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报警：1路输入，1路输出，最大支持AC24/DC24 V，1 A</w:t>
            </w:r>
          </w:p>
          <w:p w14:paraId="425F19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网络：1个RJ45 10 M/100 M自适应以太网口</w:t>
            </w:r>
          </w:p>
          <w:p w14:paraId="2856C9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复位：支持</w:t>
            </w:r>
          </w:p>
          <w:p w14:paraId="601201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电源输出：DC12 V，100 mA，建议用于拾音器供电 </w:t>
            </w:r>
          </w:p>
          <w:p w14:paraId="0F1097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恢复出厂设置：支持RESET按键，支持客户端或浏览器恢复</w:t>
            </w:r>
          </w:p>
          <w:p w14:paraId="0D8C77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启动和工作温湿度：-30 °C~60 °C，湿度小于95%（无凝结）</w:t>
            </w:r>
          </w:p>
          <w:p w14:paraId="779028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供电方式：DC：12 V ± 25%，支持防反接保护</w:t>
            </w:r>
          </w:p>
          <w:p w14:paraId="378578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PoE：IEEE 802.3af，CLASS 3</w:t>
            </w:r>
          </w:p>
          <w:p w14:paraId="163E5C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电流及功耗：DC：12 V，0.88 A，最大功耗：10.5 W</w:t>
            </w:r>
          </w:p>
          <w:p w14:paraId="1B36E4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PoE：IEEE 802.3af，CLASS 3，最大功耗：12.5 W</w:t>
            </w:r>
          </w:p>
          <w:p w14:paraId="36C3ED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电源接口类型：Ø5.5 mm圆口</w:t>
            </w:r>
          </w:p>
          <w:p w14:paraId="3C17F8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产品尺寸：92.7 × 87.6 × 186.6 mm</w:t>
            </w:r>
          </w:p>
          <w:p w14:paraId="61A1B5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包装尺寸：315 × 137 × 141 mm</w:t>
            </w:r>
          </w:p>
          <w:p w14:paraId="67CCE3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设备重量：570 g</w:t>
            </w:r>
          </w:p>
          <w:p w14:paraId="2EE16F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带包装重量：770 g </w:t>
            </w:r>
          </w:p>
          <w:p w14:paraId="30647A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防护：IP67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0A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44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7C11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54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D1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边缘计算主机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DEF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6E0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iDS-96128NX-H16/HW-F-G8(标配)/大模型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1B4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【硬件规格】</w:t>
            </w:r>
          </w:p>
          <w:p w14:paraId="7145E2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3U标准机架式16盘位超脑NVR 支持硬盘热插拔</w:t>
            </w:r>
          </w:p>
          <w:p w14:paraId="46F2DA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2个HDMI，1个VGA</w:t>
            </w:r>
          </w:p>
          <w:p w14:paraId="70B374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支持满配20TB硬盘</w:t>
            </w:r>
          </w:p>
          <w:p w14:paraId="308AC7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4个10M/100M/1000Mbps网口</w:t>
            </w:r>
          </w:p>
          <w:p w14:paraId="64A03E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2个USB2.0接口、2个USB3.0接口</w:t>
            </w:r>
          </w:p>
          <w:p w14:paraId="013C0C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1个eSATA接口</w:t>
            </w:r>
          </w:p>
          <w:p w14:paraId="233190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报警IO接口：16路报警输入，8路报警输出</w:t>
            </w:r>
          </w:p>
          <w:p w14:paraId="2E71CE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【产品性能】</w:t>
            </w:r>
          </w:p>
          <w:p w14:paraId="0FAF62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输入带宽：512Mbps</w:t>
            </w:r>
          </w:p>
          <w:p w14:paraId="09A2CC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输出带宽：512Mbps</w:t>
            </w:r>
          </w:p>
          <w:p w14:paraId="27B3C7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接入能力：128路H.264、H.265格式高清码流接入</w:t>
            </w:r>
          </w:p>
          <w:p w14:paraId="201263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解码能力：最大支持24×1080P</w:t>
            </w:r>
          </w:p>
          <w:p w14:paraId="4758C4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RAID模式：RAID0、RAID1、RAID5、RAID6、RAID10，支持全局热备盘</w:t>
            </w:r>
          </w:p>
          <w:p w14:paraId="2F6502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（仅支持监控级AI盘或企业级硬盘启用RAID）</w:t>
            </w:r>
          </w:p>
          <w:p w14:paraId="07FF58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【智能应用】</w:t>
            </w:r>
          </w:p>
          <w:p w14:paraId="61CA45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5合1 AI融合巡检，集成人、车、行为、事件、AIOP 5大类多种算法于一体</w:t>
            </w:r>
          </w:p>
          <w:p w14:paraId="15A847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一、人（包含3种算法）</w:t>
            </w:r>
          </w:p>
          <w:p w14:paraId="3AB0FC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1、人脸识别：人脸抓拍+人脸比对（64个名单库+50万张库容）</w:t>
            </w:r>
          </w:p>
          <w:p w14:paraId="556A88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w:t>
            </w:r>
          </w:p>
          <w:p w14:paraId="5CD4C9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2、人数统计：倾斜客流统计+区域人数统计</w:t>
            </w:r>
          </w:p>
          <w:p w14:paraId="7CEA0D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w:t>
            </w:r>
          </w:p>
          <w:p w14:paraId="2BA59B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3、安全帽反光衣：安全帽（颜色：红黄蓝白橙）+反光衣（颜色：绿橙）</w:t>
            </w:r>
          </w:p>
          <w:p w14:paraId="101F5A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分析模式：实时视频分析、轮巡视频分析、大模型二次分析去误报、大模型定时抓图分析、大模型离线图片分析</w:t>
            </w:r>
          </w:p>
          <w:p w14:paraId="7E172F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二、车（包含2种算法）</w:t>
            </w:r>
          </w:p>
          <w:p w14:paraId="160F9A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1、机动车识别：车牌识别（含车牌颜色）+车辆属性识别（含车辆颜色、车辆主子品牌、车辆类型）</w:t>
            </w:r>
          </w:p>
          <w:p w14:paraId="33B3DC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w:t>
            </w:r>
          </w:p>
          <w:p w14:paraId="3D2462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2、非机动车识别：电瓶车+自行车</w:t>
            </w:r>
          </w:p>
          <w:p w14:paraId="44C4E3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分析模式：实时视频分析、轮巡视频分析、定时抓图分析、离线图片分析、大模型二次分析去误报、大模型定时抓图分析、大模型离线图片分析</w:t>
            </w:r>
          </w:p>
          <w:p w14:paraId="774581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三、行为（包含4种算法）</w:t>
            </w:r>
          </w:p>
          <w:p w14:paraId="51FFCB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1、街面行为分析：人员倒地+人员聚集+快速移动（奔跑）+剧烈运动（打架）</w:t>
            </w:r>
          </w:p>
          <w:p w14:paraId="433BFA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分析模式：实时视频分析、轮巡视频分析、大模型二次分析去误报</w:t>
            </w:r>
          </w:p>
          <w:p w14:paraId="6A17F0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2、岗位行为分析：在离岗+睡岗（趴睡）+玩手机+人数异常+人员滞留</w:t>
            </w:r>
          </w:p>
          <w:p w14:paraId="7559CA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分析模式：实时视频分析、轮巡视频分析、定时抓图分析、离线图片分析、大模型二次分析去误报、大模型定时抓图分析、大模型离线图片分析</w:t>
            </w:r>
          </w:p>
          <w:p w14:paraId="04A13F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3、周界防范：区域入侵+越界侦测+进入区域侦测+离开区域侦测</w:t>
            </w:r>
          </w:p>
          <w:p w14:paraId="6E2C65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w:t>
            </w:r>
          </w:p>
          <w:p w14:paraId="6F80F4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4、抽烟打电话：抽烟+打电话识别（主要场景企业园区、加油站，支持二次检测）</w:t>
            </w:r>
          </w:p>
          <w:p w14:paraId="48C017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分析模式：实时视频分析、轮巡视频分析、定时抓图分析、离线图片分析、大模型二次分析去误报、大模型定时抓图分析、大模型离线图片分析</w:t>
            </w:r>
          </w:p>
          <w:p w14:paraId="5EAA84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四、事件（包含3种算法，其中街道不支持虚拟引擎，需要独占整颗GPU）</w:t>
            </w:r>
          </w:p>
          <w:p w14:paraId="5AC628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1、街道事件：垃圾管理（垃圾满溢、打包垃圾、晾晒垃圾）+摊位管理（占道经营、店外经营、游摊小贩）+街面管理（乱堆物料、经营撑伞、违规广告、沿街晾晒）+车辆管理（机动车/非机动车乱停乱放）</w:t>
            </w:r>
          </w:p>
          <w:p w14:paraId="3405EC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分析模式：定时抓图分析</w:t>
            </w:r>
          </w:p>
          <w:p w14:paraId="77D3D7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2、烟雾火点：近距离烟火检测（室内、园区）</w:t>
            </w:r>
          </w:p>
          <w:p w14:paraId="3DF9D1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分析模式：实时视频分析、轮巡视频分析、大模型二次分析去误报</w:t>
            </w:r>
          </w:p>
          <w:p w14:paraId="787B97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3、通道占用（室内消防通道占用）</w:t>
            </w:r>
          </w:p>
          <w:p w14:paraId="1997FB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分析模式：实时视频分析、定时抓图分析</w:t>
            </w:r>
          </w:p>
          <w:p w14:paraId="31026F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五、AIOP</w:t>
            </w:r>
          </w:p>
          <w:p w14:paraId="291DBA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1、支持检测、分类、检测+分类、语义分割、实例分割、图像比对、算法编排等AI模型加载运行</w:t>
            </w:r>
          </w:p>
          <w:p w14:paraId="47CC52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分析模式：实时视频分析、轮巡视频分析、定时抓图分析、离线图片分析</w:t>
            </w:r>
          </w:p>
          <w:p w14:paraId="729329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【单GPU（物理引擎）算法规格】</w:t>
            </w:r>
          </w:p>
          <w:p w14:paraId="46E795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实时视频模式：单GPU最大4路（400W及以下最大4路，5-600W最大2路，7-800W最大1路），可被1-4个虚拟引擎分摊</w:t>
            </w:r>
          </w:p>
          <w:p w14:paraId="21579B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轮巡视频模式 ：单GPU最大16路，间隔10-3600秒，可被1-4个虚拟引擎分摊</w:t>
            </w:r>
          </w:p>
          <w:p w14:paraId="3B3B37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定时抓图模式 ：单GPU最大16路，间隔3-3600秒，可被1-4个虚拟引擎分摊</w:t>
            </w:r>
          </w:p>
          <w:p w14:paraId="1116E5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离线图片模式 ：单GPU最大8-10张/秒 ，可被1-4个虚拟引擎分摊</w:t>
            </w:r>
          </w:p>
          <w:p w14:paraId="402316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补充说明：</w:t>
            </w:r>
          </w:p>
          <w:p w14:paraId="201C73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1、1个GPU(物理引擎)=4个vGPU(虚拟引擎),虚拟引擎不影响物理引擎性能，只是可以加载更多算法</w:t>
            </w:r>
          </w:p>
          <w:p w14:paraId="370378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2、上述1种算法可单独加载到1个虚拟引擎中（街道除外，需独占物理引擎）</w:t>
            </w:r>
          </w:p>
          <w:p w14:paraId="3617BA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3、当只加载1种算法的时候，虚拟引擎性能和物理引擎一样，性能独占；当加载N种算法（N≤4），则单个虚拟引擎性能=最大物理引擎性能/N；</w:t>
            </w:r>
          </w:p>
          <w:p w14:paraId="63C533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【设备总性能规格】</w:t>
            </w:r>
          </w:p>
          <w:p w14:paraId="5B100E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设备内置8颗GPU（物理引擎）</w:t>
            </w:r>
          </w:p>
          <w:p w14:paraId="18BA01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总性能 = “GPU个数” × “单GPU（物理引擎）算法规格”</w:t>
            </w:r>
          </w:p>
          <w:p w14:paraId="5A4CA3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【大模型性能】</w:t>
            </w:r>
          </w:p>
          <w:p w14:paraId="4CA856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最大支持4个大模型二次分析</w:t>
            </w:r>
          </w:p>
          <w:p w14:paraId="5E07B3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【大模型分析】</w:t>
            </w:r>
          </w:p>
          <w:p w14:paraId="4C988D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支持导入AIOP大模型进行直接分析</w:t>
            </w:r>
          </w:p>
          <w:p w14:paraId="1CD249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大模型分析只支持图片分析（定时抓图/离线图片），性能2秒/张/GPU</w:t>
            </w:r>
          </w:p>
          <w:p w14:paraId="652551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大模型支持检测，分类，混合（1检测+7分类），OCR</w:t>
            </w:r>
          </w:p>
          <w:p w14:paraId="6D9C02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【大模型二次分析】</w:t>
            </w:r>
          </w:p>
          <w:p w14:paraId="3BD428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支持导入AIOP大模型对小模型分析结果进行二次分析</w:t>
            </w:r>
          </w:p>
          <w:p w14:paraId="5AD95D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大模型支持检测，分类，混合（1检测+7分类），OCR</w:t>
            </w:r>
          </w:p>
          <w:p w14:paraId="001F1A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注意：大模型二次分析会出现报警延迟，如不能接受，请勿开启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1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D9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6A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99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5C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CEB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575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WD82HKAI-78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E06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 HDD,8TB,7200RPM, 256MB, SATA 6Gb/s</w:t>
            </w:r>
          </w:p>
          <w:p w14:paraId="6E28B4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高转速：7200rpm</w:t>
            </w:r>
          </w:p>
          <w:p w14:paraId="3691EC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支持RAID应用(搭配NVR)</w:t>
            </w:r>
          </w:p>
          <w:p w14:paraId="136C3A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高达256MB缓冲区，流畅存储视频有效防止丢帧</w:t>
            </w:r>
          </w:p>
          <w:p w14:paraId="60AD79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年写入负载：不小于360TB</w:t>
            </w:r>
          </w:p>
          <w:p w14:paraId="55B81C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24×7全天候高效稳定运行</w:t>
            </w:r>
          </w:p>
          <w:p w14:paraId="4E83B2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支持5年有限质保服务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4E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B5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64D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F2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F9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网络存储设备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AC6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D6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DS-A71148R（含45块16TB企业盘）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3EB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6U机架式48盘位网络存储设备，搭载64位多核处理器，1+1冗余电源、冗余风扇，实现7×24小时稳定运行</w:t>
            </w:r>
          </w:p>
          <w:p w14:paraId="5F0BB5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【硬件规格】</w:t>
            </w:r>
          </w:p>
          <w:p w14:paraId="688F62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处理器：1颗64位多核处理器</w:t>
            </w:r>
          </w:p>
          <w:p w14:paraId="558CC9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系统内存：8GB（可扩展至64GB）</w:t>
            </w:r>
          </w:p>
          <w:p w14:paraId="5D6FB3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系统盘：1×240GB SSD（后置）</w:t>
            </w:r>
          </w:p>
          <w:p w14:paraId="25FABC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存储接口：48个SATA接口，支持硬盘热插拔，可满配4TB/6TB/8TB/10TB/16TB硬盘</w:t>
            </w:r>
          </w:p>
          <w:p w14:paraId="6C1915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网络接口：4个2.5G数据网口，1个千兆管理口</w:t>
            </w:r>
          </w:p>
          <w:p w14:paraId="4CB087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其他接口：1×COM，2×USB2.0（前置），2×USB3.0（后置），1×VGA（前置），1×HDMI（后置）</w:t>
            </w:r>
          </w:p>
          <w:p w14:paraId="13C0FC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整机电源：1200W，1+1冗余电源</w:t>
            </w:r>
          </w:p>
          <w:p w14:paraId="14F496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【产品性能】</w:t>
            </w:r>
          </w:p>
          <w:p w14:paraId="079CF2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视频性能：最大支持接入768路（最大接入带宽1536Mbps）</w:t>
            </w:r>
          </w:p>
          <w:p w14:paraId="7EA29B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图片性能：最大支持100张/S（单张图片500KB）</w:t>
            </w:r>
          </w:p>
          <w:p w14:paraId="693189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回放性能：最大支持76路2Mbps</w:t>
            </w:r>
          </w:p>
          <w:p w14:paraId="6C3550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事件录像：最大支持200路2Mbps</w:t>
            </w:r>
          </w:p>
          <w:p w14:paraId="7584FE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【产品功能】</w:t>
            </w:r>
          </w:p>
          <w:p w14:paraId="7FA1F7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支持视频流、图片直写</w:t>
            </w:r>
          </w:p>
          <w:p w14:paraId="054AA5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支持ONVIF、GB/T 28181、RTSP等标准协议</w:t>
            </w:r>
          </w:p>
          <w:p w14:paraId="4F27ED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支持VRAID、RAID0、1、5、6、10等多种RAID模式</w:t>
            </w:r>
          </w:p>
          <w:p w14:paraId="26125F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支持RAID降级可读写(VRAID)，支持全局热备(RAID0、1、5、6、10)，多重保护数据安全</w:t>
            </w:r>
          </w:p>
          <w:p w14:paraId="1BF2C7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支持局部重构，原盘或其克隆盘拔出设备后再插回，未被覆盖数据可快速恢复</w:t>
            </w:r>
          </w:p>
          <w:p w14:paraId="16DCD1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支持定时录像、事件录像、手动录像等多种录像方式</w:t>
            </w:r>
          </w:p>
          <w:p w14:paraId="356253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支持视频检索功能，按照监控点编号、录像类型、时间组合等条件查询</w:t>
            </w:r>
          </w:p>
          <w:p w14:paraId="4991AD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支持视频回放功能，正序回放、定位回放、倍速回放等功能</w:t>
            </w:r>
          </w:p>
          <w:p w14:paraId="34B7EA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支持按需取流功能，未处于录像计划时间内的通道不占用网络带宽</w:t>
            </w:r>
          </w:p>
          <w:p w14:paraId="4E182E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支持BMC业务保护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3D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2E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ED9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A4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FF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高点球机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FFF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0A2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DS-2DP2427ZIXS-D/440/SP(F0)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C1B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2400万270°鹰眼_400万40倍_卫星定位</w:t>
            </w:r>
          </w:p>
          <w:p w14:paraId="52EF1C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海康威视2400万270° 无盲区球型鹰眼，全景采用6个F1.0大光圈全彩镜头拼接而成，可输270°大场景拼接画面</w:t>
            </w:r>
          </w:p>
          <w:p w14:paraId="469207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全景画面可支持关注区域畸变矫正，细节内置40倍变焦镜头</w:t>
            </w:r>
          </w:p>
          <w:p w14:paraId="2BF5C5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全景智能：Smart事件、人员密度、车辆拥堵；细节智能：全结构化、Smart事件、普通监控（高帧率）；更好助力平安城市公共安全管理</w:t>
            </w:r>
          </w:p>
          <w:p w14:paraId="6BF47A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适用于城市高点、机场车站、城管市政、水利枢纽、企业园区、景区、校园等重点场所</w:t>
            </w:r>
          </w:p>
          <w:p w14:paraId="7C7903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全景摄像机</w:t>
            </w:r>
          </w:p>
          <w:p w14:paraId="10325A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6个1/1.8＂ 4MP Progressive Scan CMOS，最高分辨率及帧率可达8160x2400@30 fps，9024x2656@12.5 fps</w:t>
            </w:r>
          </w:p>
          <w:p w14:paraId="2C5CB0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视场角：水平270°，垂直110°</w:t>
            </w:r>
          </w:p>
          <w:p w14:paraId="2C3B0B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星光级超低照度，0.0005Lux/F1.0（彩色），0.0001Lux/F1.0（黑白）</w:t>
            </w:r>
          </w:p>
          <w:p w14:paraId="732E5C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细节摄像机</w:t>
            </w:r>
          </w:p>
          <w:p w14:paraId="6DD02F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 4MP Progressive Scan CMOS，最高分辨率及帧率可达2688 × 1520@30 fps</w:t>
            </w:r>
          </w:p>
          <w:p w14:paraId="0B0903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星光级超低照度，0.0005 Lux/F1.2（彩色），0.0001 Lux/F1.2（黑白），0 Lux with IR</w:t>
            </w:r>
          </w:p>
          <w:p w14:paraId="7A8252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40倍光学变倍，16倍数字变倍</w:t>
            </w:r>
          </w:p>
          <w:p w14:paraId="3B9FCA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水平360°连续旋转，垂直-15°~90°（自动翻转）</w:t>
            </w:r>
          </w:p>
          <w:p w14:paraId="78F9AE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采用高效红外阵列，低功耗，照射距离最远可达300m</w:t>
            </w:r>
          </w:p>
          <w:p w14:paraId="3AC106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系统参数</w:t>
            </w:r>
          </w:p>
          <w:p w14:paraId="7D35DF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【全景】支持区域入侵侦测、越界侦测、进入区域、离开区域事件侦测功能</w:t>
            </w:r>
          </w:p>
          <w:p w14:paraId="0C1975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【全景】支持人员密度检测功能，检测覆盖范围半径200米</w:t>
            </w:r>
          </w:p>
          <w:p w14:paraId="3A7D3E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【全景】支持车辆拥堵检测功能，检测覆盖范围半径150米，推荐：在封闭式道路中可以做拥堵事件检测，推荐在高速、环线、快速路或者主干线</w:t>
            </w:r>
          </w:p>
          <w:p w14:paraId="48581A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【细节】支持区域入侵侦测、越界侦测、进入区域、离开区域事件侦测功能</w:t>
            </w:r>
          </w:p>
          <w:p w14:paraId="3BF781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【细节】支持全结构化：支持细节路混合目标检测，对检测区域内的人、非机动车、车进行同时抓拍上传，人脸人体关联输出，并实现对人脸、人体、车辆结构化属性特征信息提取</w:t>
            </w:r>
          </w:p>
          <w:p w14:paraId="588350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支持点击联动功能，通过在客户端点击或者框选全景摄像机画面任意位置，细节跟踪摄像机可自动通过云台调整与变焦，将该区域置于画面中心</w:t>
            </w:r>
          </w:p>
          <w:p w14:paraId="0A13FD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支持目标自动跟踪功能，通过设置智能事件规则，对设定区域内触发事件的运动目标在设定的跟踪时间内进行持续稳定跟踪。并可在跟踪过程中手动切换跟踪目标</w:t>
            </w:r>
          </w:p>
          <w:p w14:paraId="5004E4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支持手动选择跟踪目标，在设定跟踪时间内进行持续稳定跟踪</w:t>
            </w:r>
          </w:p>
          <w:p w14:paraId="6D4469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光口（FC）+电口(RJ-45)网络接口设计</w:t>
            </w:r>
          </w:p>
          <w:p w14:paraId="4A08DA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支持GB35114A级安全加密</w:t>
            </w:r>
          </w:p>
          <w:p w14:paraId="30E81F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AI-ISP：细节球机采用去噪卷积神经网络将深度结构、学习算法用于图像去噪，最终使画面成像更新清晰，噪点更小图像更干净</w:t>
            </w:r>
          </w:p>
          <w:p w14:paraId="48FDFC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支持北斗卫星定位</w:t>
            </w:r>
          </w:p>
          <w:p w14:paraId="0028D9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传感器类型：【全景】1/1.8＂ progressive scan CMOS,【细节】1/1.8＂ progressive scan CMOS</w:t>
            </w:r>
          </w:p>
          <w:p w14:paraId="0AFB15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最低照度：【全景】0.0005Lux/F1.0（彩色），0.0001Lux/F1.0（黑白）；【细节】星光级超低照度，0.0005Lux/F1.2（彩色），0.0001Lux/F1.2（黑白），0 Lux with IR </w:t>
            </w:r>
          </w:p>
          <w:p w14:paraId="4A7E47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宽动态：全景不支持，细节支持120dB超宽动态</w:t>
            </w:r>
          </w:p>
          <w:p w14:paraId="254AEF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光学变倍：40倍 </w:t>
            </w:r>
          </w:p>
          <w:p w14:paraId="4603D1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焦距：【全景】2 mm；【细节】6~240 mm</w:t>
            </w:r>
          </w:p>
          <w:p w14:paraId="102B2F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视场角：水平视场角 56.6-1.8度(广角-望远) </w:t>
            </w:r>
          </w:p>
          <w:p w14:paraId="101663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垂直视场角 33.7-1.0度(广角-望远) </w:t>
            </w:r>
          </w:p>
          <w:p w14:paraId="6D25D4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对角线视场角 63.4-2.0度(广角-望远) </w:t>
            </w:r>
          </w:p>
          <w:p w14:paraId="0695EB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红外照射距离：300m </w:t>
            </w:r>
          </w:p>
          <w:p w14:paraId="3ABF11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防补光过曝：支持 </w:t>
            </w:r>
          </w:p>
          <w:p w14:paraId="37B4A0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水平范围：360°</w:t>
            </w:r>
          </w:p>
          <w:p w14:paraId="6C3121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垂直范围：-15°-90°(自动翻转)</w:t>
            </w:r>
          </w:p>
          <w:p w14:paraId="10C53D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水平速度：水平键控速度：0.1°-500°/s,速度可设;水平预置点速度：500°/s</w:t>
            </w:r>
          </w:p>
          <w:p w14:paraId="55B93B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垂直速度：垂直键控速度：0.1°-350°/s,速度可设;垂直预置点速度：350°/s  </w:t>
            </w:r>
          </w:p>
          <w:p w14:paraId="51306F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主码流帧率分辨率：全景：50Hz:25fps (8160×2400,6120×1800,5760×1696，3840×1080), 60Hz: 30fps (8160×2400,6120×1800,5760×1696，3840×1080);</w:t>
            </w:r>
          </w:p>
          <w:p w14:paraId="7488A5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细节：50Hz:25fps (2688×1520,2560x1440,1920×1080,1280×960,1280x720) 60Hz:30fps (2560x1440,1920x1080,1280x960,1280x720)</w:t>
            </w:r>
          </w:p>
          <w:p w14:paraId="6EAFA5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视频压缩标准：H.265;H.264;MJPEG </w:t>
            </w:r>
          </w:p>
          <w:p w14:paraId="4BF350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卫星定位：支持北斗卫星定位</w:t>
            </w:r>
          </w:p>
          <w:p w14:paraId="5E29F0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陀螺仪：支持</w:t>
            </w:r>
          </w:p>
          <w:p w14:paraId="740195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电子罗盘：支持 </w:t>
            </w:r>
          </w:p>
          <w:p w14:paraId="7BA36B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网络接口：RJ45网口;自适应10M/100M/1000M网络数据</w:t>
            </w:r>
          </w:p>
          <w:p w14:paraId="58FB90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光纤接口：FC接口;内置光纤模块;波长TX1310/RX1550nm;20km传输距离;单模单纤;1000M网络数据</w:t>
            </w:r>
          </w:p>
          <w:p w14:paraId="725674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SD卡扩展：内置Micro SD卡插槽，支持Micro SD/Micro SDHC/Micro SDXC卡（最大支持512GB）</w:t>
            </w:r>
          </w:p>
          <w:p w14:paraId="492C49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报警：7路报警输入，2路报警输出</w:t>
            </w:r>
          </w:p>
          <w:p w14:paraId="3FA1D1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音频：1路音频输入，1路音频输出</w:t>
            </w:r>
          </w:p>
          <w:p w14:paraId="1CE889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RS485接口：采用半双工模式，支持自适应HIKVISION，PELCO-P和PELCO-D(可添加)协议 </w:t>
            </w:r>
          </w:p>
          <w:p w14:paraId="11E07B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供电方式：DC36V；整机平均功耗75w，最大功耗90w</w:t>
            </w:r>
          </w:p>
          <w:p w14:paraId="3DDFC6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工作温湿度：-40℃-70℃;湿度小于90%</w:t>
            </w:r>
          </w:p>
          <w:p w14:paraId="0DAC1D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恢复出厂设置：支持</w:t>
            </w:r>
          </w:p>
          <w:p w14:paraId="2C466B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除雾：支持</w:t>
            </w:r>
          </w:p>
          <w:p w14:paraId="4B207E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尺寸：Φ427.6x425.9mm</w:t>
            </w:r>
          </w:p>
          <w:p w14:paraId="336A24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重量：净重 14.6kg </w:t>
            </w:r>
          </w:p>
          <w:p w14:paraId="47061F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防护：IP67; 6000V 防雷、防浪涌、防突波，符合GB/T17626.2/3/4/5/6四级标准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75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AA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E9B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D8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6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高点球机支架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B31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47C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DS-4604ZJ-PA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ACD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尺寸：160*124*398mm</w:t>
            </w:r>
          </w:p>
          <w:p w14:paraId="4064D0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重量：1.9 kg</w:t>
            </w:r>
          </w:p>
          <w:p w14:paraId="63C3E8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材质：铝合金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92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C3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65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DA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E66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防爆球机支架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CD2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E45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DS-2713ZJ-H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785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材质：ADC12-001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12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31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0BA8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CD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827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防爆球机吊装支架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E5D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86A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DS-1690ZJ-X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CD9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颜色：不锈钢本色</w:t>
            </w:r>
          </w:p>
          <w:p w14:paraId="0C0F74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材质：SUS304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AF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91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0CE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09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D50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防爆摄像枪支架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463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6FB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DS-1293ZJ-P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B41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壁装支架/铂晶灰/铝合金/88×116.6×297.3mm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66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24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4874CB"/>
                <w:sz w:val="20"/>
                <w:szCs w:val="20"/>
                <w:u w:val="none"/>
              </w:rPr>
            </w:pPr>
            <w:r>
              <w:rPr>
                <w:rFonts w:hint="eastAsia" w:ascii="宋体" w:hAnsi="宋体" w:eastAsia="宋体" w:cs="宋体"/>
                <w:i w:val="0"/>
                <w:iCs w:val="0"/>
                <w:color w:val="4874CB"/>
                <w:kern w:val="0"/>
                <w:sz w:val="20"/>
                <w:szCs w:val="20"/>
                <w:u w:val="none"/>
                <w:lang w:val="en-US" w:eastAsia="zh-CN" w:bidi="ar"/>
              </w:rPr>
              <w:t>57</w:t>
            </w:r>
          </w:p>
        </w:tc>
      </w:tr>
      <w:tr w14:paraId="5567E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6C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D18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快球支架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C0D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3CF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DS-1602ZJ</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761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DS-1602ZJ</w:t>
            </w:r>
          </w:p>
          <w:p w14:paraId="36B944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压铸纯铝合金材质，表面做喷塑处理</w:t>
            </w:r>
          </w:p>
          <w:p w14:paraId="6FC97B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带有安装调试口，便于穿线、接线，及后期维修</w:t>
            </w:r>
          </w:p>
          <w:p w14:paraId="3358AC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采用铝合金精密压铸工艺，强度高，结构可靠</w:t>
            </w:r>
          </w:p>
          <w:p w14:paraId="2D5875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颜色：海康白</w:t>
            </w:r>
          </w:p>
          <w:p w14:paraId="18540A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材质：铝合金</w:t>
            </w:r>
          </w:p>
          <w:p w14:paraId="35A917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尺寸：306.3×97.3×182.6mm</w:t>
            </w:r>
          </w:p>
          <w:p w14:paraId="751F0A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重量：1000g</w:t>
            </w:r>
          </w:p>
          <w:p w14:paraId="4FDD9A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角度：水平：360°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A4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A2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22EB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AA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A75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摄像枪支架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8C7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2CF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DS-2205ZJ-K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4A7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壁装支架/白/铝合金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B4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D6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4874CB"/>
                <w:sz w:val="20"/>
                <w:szCs w:val="20"/>
                <w:u w:val="none"/>
              </w:rPr>
            </w:pPr>
            <w:r>
              <w:rPr>
                <w:rFonts w:hint="eastAsia" w:ascii="宋体" w:hAnsi="宋体" w:eastAsia="宋体" w:cs="宋体"/>
                <w:i w:val="0"/>
                <w:iCs w:val="0"/>
                <w:color w:val="4874CB"/>
                <w:kern w:val="0"/>
                <w:sz w:val="20"/>
                <w:szCs w:val="20"/>
                <w:u w:val="none"/>
                <w:lang w:val="en-US" w:eastAsia="zh-CN" w:bidi="ar"/>
              </w:rPr>
              <w:t>228</w:t>
            </w:r>
          </w:p>
        </w:tc>
      </w:tr>
      <w:tr w14:paraId="3190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E6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A4E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周界摄像枪支架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DC8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986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DS-2205ZJ-K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B54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壁装支架/白/铝合金/尺寸70×97.1×173.4mm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CF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6B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r>
      <w:tr w14:paraId="4B2C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CA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D8D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45A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77E8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574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7A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33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r>
      <w:tr w14:paraId="15DA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B4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9A9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L型壁装支架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D7B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EBF6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AA0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定制1.5-2M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B2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50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B5B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8F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F58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基础包/系统管理（必选）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C41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9CA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061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1、提供门户首页内容自定义能力，支持自定义快捷入口、自定义菜单内容、自定义页面元素设置；支持门户展示元素自定义，包括页面logo图标、修改网站标题、设置并添加网站外部链接；</w:t>
            </w:r>
          </w:p>
          <w:p w14:paraId="1CC0C9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2、提供统一的认证、鉴权管理、应用管理、菜单管理、用户管理、角色管理、组织管理、资源管理等能力；</w:t>
            </w:r>
          </w:p>
          <w:p w14:paraId="67E2BC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3、提供用户权限管理能力，包括菜单权限、组织权限、区域权限、资源权限、功能控制权限；</w:t>
            </w:r>
          </w:p>
          <w:p w14:paraId="2E5965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4、提供组织、区域、设备、人员、卡片、车辆等资源统一管理；</w:t>
            </w:r>
          </w:p>
          <w:p w14:paraId="253FFB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5、提供用户安全管理，支持账户绑定用户mac地址及IP地址能力，提供账户安全设置，支持账户密码有效期设置，支持登录类型（Web端、PC客户端、移动端）和认证方式（密码、PKI）的配置；</w:t>
            </w:r>
          </w:p>
          <w:p w14:paraId="0C1847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6、提供NTP校时服务能力，支持对设备和服务器统一校时;</w:t>
            </w:r>
          </w:p>
          <w:p w14:paraId="58FEDA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7、提供数据、服务等统一开放能力；</w:t>
            </w:r>
          </w:p>
          <w:p w14:paraId="251F2D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8、提供系统运行状态监测能力，包括运行服务监控、运行服务统计、运行数据报告和运行服务解析概览。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B5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4C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9F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02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469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移动APP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6E1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981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7BB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面向管理人员、员工提供移动APP端应用，包含应用搜索、消息、待办及各类业务应用。</w:t>
            </w:r>
          </w:p>
          <w:p w14:paraId="6C719C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1、支持管理员和员工登录APP，根据管理员的角色权限展示对应的管理应用，员工端支持访客、食堂消费、考勤、场库导览、报修应用；</w:t>
            </w:r>
          </w:p>
          <w:p w14:paraId="054888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2、支持事件、消息、代办内容的提醒和查看功能，使管理人员能够实时知晓和处理业务事件；</w:t>
            </w:r>
          </w:p>
          <w:p w14:paraId="058098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3、提供安防管理应用，包括：视频预览、录像回放、图片查询、巡更、图上监控、报警监测、电瓶车管理应用；</w:t>
            </w:r>
          </w:p>
          <w:p w14:paraId="2077F6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4、提供综合管理应用，包括考勤、食堂消费、移动订餐、食堂配送、智慧广播、维修管理、人员信息采集应用；</w:t>
            </w:r>
          </w:p>
          <w:p w14:paraId="086D50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5、提供通行管理应用，包括访客、门禁控制、车辆管理、移动岗亭应用；</w:t>
            </w:r>
          </w:p>
          <w:p w14:paraId="4ACCF5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6、提供人员进出、访客到访数据统计，提供设备在离线、告警信息的数据统计。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71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CE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2F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AE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E0B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7C9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E0C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B0A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p>
          <w:p w14:paraId="2AF26C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一、视频预览</w:t>
            </w:r>
          </w:p>
          <w:p w14:paraId="69C75B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1、支持视频实时预览能力，实现预览窗口布局切换、预览画面自适应及全屏切换；</w:t>
            </w:r>
          </w:p>
          <w:p w14:paraId="4B45E8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2、支持云台控制、实时抓图、紧急录像、即时回放、主子码流切换、声音开启\关闭、辅屏预览（1个辅屏）、对讲、广播、报警输出控制的能力；</w:t>
            </w:r>
          </w:p>
          <w:p w14:paraId="148455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3、支持智能规则展示的能力（如：针对热成像设备温度信息实时展示）；</w:t>
            </w:r>
          </w:p>
          <w:p w14:paraId="3486B24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4、支持资源视图管理能力，以视图形式管理监控点、视频预览轮巡等自定义资源组，其中视图类型包含公有视图和私有视图；</w:t>
            </w:r>
          </w:p>
          <w:p w14:paraId="59C26C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5、支持全景视频监控预览能力，支持球型鹰眼、全景摄像机的全景模式；</w:t>
            </w:r>
          </w:p>
          <w:p w14:paraId="0B5CD2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二、录像回放</w:t>
            </w:r>
          </w:p>
          <w:p w14:paraId="591176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1、支持录像计划管理能力，支持实时录像计划、录像回传计划；</w:t>
            </w:r>
          </w:p>
          <w:p w14:paraId="3541E0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2、支持录像回放能力，支持多画面同步回放和异步回放切换、超高倍速回放、分段回放、录像下载、录像剪辑、录像标签、录像锁定、录像抓图；</w:t>
            </w:r>
          </w:p>
          <w:p w14:paraId="064FD1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三、图片监控</w:t>
            </w:r>
          </w:p>
          <w:p w14:paraId="4548DC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1、支持视频预览与图片实时监控模式切换能力，实现图片监控模式；</w:t>
            </w:r>
          </w:p>
          <w:p w14:paraId="68B08F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2、支持图片查询回放能力，实现按监控点、时间段展示抓拍图片；</w:t>
            </w:r>
          </w:p>
          <w:p w14:paraId="6CA878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3、支持图片自动播放能力，支持图片自动播放速度可设置；</w:t>
            </w:r>
          </w:p>
          <w:p w14:paraId="69303C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4、支持图片下载能力；</w:t>
            </w:r>
          </w:p>
          <w:p w14:paraId="3249DA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四、视频上墙</w:t>
            </w:r>
          </w:p>
          <w:p w14:paraId="0DC0CA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1、支持电视墙场景管理能力，实现场景窗口配置、场景切换计划配置以及轮巡计划的管理；</w:t>
            </w:r>
          </w:p>
          <w:p w14:paraId="602162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2、支持上墙控制能力，实现场景一键上墙、场景切换、电视墙切换、监控点上下墙、轮巡控制操作；</w:t>
            </w:r>
          </w:p>
          <w:p w14:paraId="44E2E0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五、视频事件</w:t>
            </w:r>
          </w:p>
          <w:p w14:paraId="388209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1、支持视频事件布撤防能力，可按计划模版进行布防，事件类型包括移动侦测、视频丢失、视频遮挡、报警输入、报警输出；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DC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7C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480E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7F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A6E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设备网络管理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073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79A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7B0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设备网络管理应用，对接入平台的视频设备，门禁设备，梯控设备，可视对讲设备进行在线巡检，及时发现故障设备和掉线设备，使运维工作更加高效，便利。</w:t>
            </w:r>
          </w:p>
          <w:p w14:paraId="35AB54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一、视频网络管理</w:t>
            </w:r>
          </w:p>
          <w:p w14:paraId="5EB86C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1、支持监控摄像机、编码设备、存储设备、解码设备等物联设备在线状态、工作状态、硬盘状态、指标采集。</w:t>
            </w:r>
          </w:p>
          <w:p w14:paraId="165A11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2、支持监控点通道的在线状态、录制状态、录像完整性、录像保存天数指标检测。</w:t>
            </w:r>
          </w:p>
          <w:p w14:paraId="494C25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3、支持告警信息统计展现。并支持对监控点、编码设备、解码设备、视频综合矩阵、NVR/CVR、云储存、门禁设备、门禁点、读卡器、梯控设备/梯控读卡器/可视对讲的告警阈值进行配置。</w:t>
            </w:r>
          </w:p>
          <w:p w14:paraId="112DDB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4、提供视频运维报表统计能力，包含区域综合排名统计、录像完整性统计、录像存储达标统计、在线状态统计、离线时长统计报表。</w:t>
            </w:r>
          </w:p>
          <w:p w14:paraId="404E7C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5、支持巡检计划配置，可以按照类型和资源以及自定义的巡检周期进行巡检计划配置。</w:t>
            </w:r>
          </w:p>
          <w:p w14:paraId="036581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6、支持海康SDK、大华SDK、ehome、isup5.0、GB28181、部标808、Open Network Video Interface、萤石、ISAPI协议。</w:t>
            </w:r>
          </w:p>
          <w:p w14:paraId="5968D0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二、门禁运维管理</w:t>
            </w:r>
          </w:p>
          <w:p w14:paraId="118D46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1、提供门禁设备在线状态监测能力；</w:t>
            </w:r>
          </w:p>
          <w:p w14:paraId="509747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2、提供门禁设备运维报表统计能力；</w:t>
            </w:r>
          </w:p>
          <w:p w14:paraId="3B9C0B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三、可视对讲运维管理</w:t>
            </w:r>
          </w:p>
          <w:p w14:paraId="391F51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1、提供门口机、室内机、管理机、围墙机设备在线状态监测能力；</w:t>
            </w:r>
          </w:p>
          <w:p w14:paraId="353D96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2、提供可视对讲设备运维报表统计能力；</w:t>
            </w:r>
          </w:p>
          <w:p w14:paraId="42F325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四、梯控运维管理</w:t>
            </w:r>
          </w:p>
          <w:p w14:paraId="354E91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1、提供梯控主机、读卡器在线状态监测能力；</w:t>
            </w:r>
          </w:p>
          <w:p w14:paraId="2AF757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2、提供梯控设备运维报表统计能力；</w:t>
            </w:r>
          </w:p>
          <w:p w14:paraId="139B86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五、停车场出入口运维管理</w:t>
            </w:r>
          </w:p>
          <w:p w14:paraId="05D89B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1、提供岗亭缴费终端、出入口控制设备、出入口显示设备、读卡设备在线状态监测能力；</w:t>
            </w:r>
          </w:p>
          <w:p w14:paraId="79672C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2、提供停车场出入口设备运维报表统计能力；</w:t>
            </w:r>
          </w:p>
          <w:p w14:paraId="18CE72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六、寻车诱导运维管理</w:t>
            </w:r>
          </w:p>
          <w:p w14:paraId="07A996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1、提供诱导管理器、车位相机、显示屏在线状态监测能力；</w:t>
            </w:r>
          </w:p>
          <w:p w14:paraId="28ADD7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2、提供寻车诱导设备运维报表统计能力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AC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1C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639A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7F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008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出入口车辆放行管理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D91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CE5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7E1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出入口车辆放行管理通过接入多种出入口道闸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道闸反控和语音对讲协助功能</w:t>
            </w:r>
          </w:p>
          <w:p w14:paraId="1936A6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w:t>
            </w:r>
          </w:p>
          <w:p w14:paraId="41136A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一、出入口车道管理</w:t>
            </w:r>
          </w:p>
          <w:p w14:paraId="7AA620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1、支持停车场出入口设备的管理，包含出入口抓拍机、道闸、显示屏等</w:t>
            </w:r>
          </w:p>
          <w:p w14:paraId="48623B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2、支持对停车场的管理，配置停车库的名称、车位数、车道信息、车库管理人员电话</w:t>
            </w:r>
          </w:p>
          <w:p w14:paraId="370DB8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3、支持对车道的管理，支持管理车道方向、识别模式（车牌识别、卡号识别）和启用时段</w:t>
            </w:r>
          </w:p>
          <w:p w14:paraId="398F32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二、车辆管理</w:t>
            </w:r>
          </w:p>
          <w:p w14:paraId="4769A7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1、支持固定车、临时车、预约车、黑名单车辆的管理</w:t>
            </w:r>
          </w:p>
          <w:p w14:paraId="5FD68D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2、支持黑名单车辆管控，黑名单车辆进出报警提醒</w:t>
            </w:r>
          </w:p>
          <w:p w14:paraId="2FA30B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3、支持预约车管理，按次预约和按时段预约</w:t>
            </w:r>
          </w:p>
          <w:p w14:paraId="2F2039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三、车辆放行规则管理</w:t>
            </w:r>
          </w:p>
          <w:p w14:paraId="50A07A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1、支持嵌套停车场场景下的车辆进出管理和余位统计</w:t>
            </w:r>
          </w:p>
          <w:p w14:paraId="272B20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2、支持出入口潮汐车道、摩托车车道、混行车道的车道模式</w:t>
            </w:r>
          </w:p>
          <w:p w14:paraId="7DE2A38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3、支持自动放行、手动放行和单进单出等多种放行模式；支持车位满时固定车辆、临时车辆自动放行</w:t>
            </w:r>
          </w:p>
          <w:p w14:paraId="402B2D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4、支持配置特殊车辆（武警车、警车、使馆车）、车牌类型、车牌前缀，自动放行</w:t>
            </w:r>
          </w:p>
          <w:p w14:paraId="67F06A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5、支持配置节假日车辆自动免费放行</w:t>
            </w:r>
          </w:p>
          <w:p w14:paraId="60BC84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6、支持按车辆群组配置放行规则，按放行时段（全天、按日、按周）配置入场和出场放行权限、车位满是否放行、是否余位统计群组车进行配置</w:t>
            </w:r>
          </w:p>
          <w:p w14:paraId="3B6D8E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7、支持一户多车。当车主只有一个车位两辆车时，只允许一辆车进入停车场</w:t>
            </w:r>
          </w:p>
          <w:p w14:paraId="787AF7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8、支持车辆满位排队进场，当停车场车位满时，有车辆出场后，排队车辆自动抬杆放行</w:t>
            </w:r>
          </w:p>
          <w:p w14:paraId="32D8F2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四、出入口显示和语音播报管理</w:t>
            </w:r>
          </w:p>
          <w:p w14:paraId="5D5BF0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1、支持根据车道类型自定义配置LED屏的显示内容，支持过车显示内容和空闲显示内容，显示内容可自定义配置文字颜色、文字对齐方式、显示方式和显示内容</w:t>
            </w:r>
          </w:p>
          <w:p w14:paraId="05B3F2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2、出入口显示屏的空闲显示内容包括：空余车位、当前时间、当前日期及自定义文字</w:t>
            </w:r>
          </w:p>
          <w:p w14:paraId="76CF08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3、出入口显示屏的过车显示内容，可以根据车辆类型配置不同的内容，包括：车牌号码、车辆卡号、车辆类型、入场时间、到期提醒、空余车位、账户余额、车辆分类、一户多车满位及自定义文字</w:t>
            </w:r>
          </w:p>
          <w:p w14:paraId="65DFD2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4、出入口显示屏支持根据车道的启用和禁用状态显示对应的图标</w:t>
            </w:r>
          </w:p>
          <w:p w14:paraId="6B6A0A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5、支持根据车辆类型，自定义配置入场播报、出场播报和放行播报的语音播报内容</w:t>
            </w:r>
          </w:p>
          <w:p w14:paraId="72C58E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6、语音播报的入场播报，包括：车牌号码、到期时间、一户多车满位、欢迎光临/车位已满、车辆分类及自定义文字</w:t>
            </w:r>
          </w:p>
          <w:p w14:paraId="7EC543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7、语音播报的出场播报，包括：车牌号码、车辆卡号、入场时间、收费金额/到期提醒、出场时间、停车时长、余额提醒、车辆分类及自定义文字</w:t>
            </w:r>
          </w:p>
          <w:p w14:paraId="4FC073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五、库内车辆管理</w:t>
            </w:r>
          </w:p>
          <w:p w14:paraId="00A83C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1、支持按停车时长进行库内车辆的查询</w:t>
            </w:r>
          </w:p>
          <w:p w14:paraId="34FBE7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2、支持对库内车辆进行车牌校正</w:t>
            </w:r>
          </w:p>
          <w:p w14:paraId="75AAD4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3、支持对场内异常车辆的记录进行清理</w:t>
            </w:r>
          </w:p>
          <w:p w14:paraId="0D902B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4、支持对场内无牌车定期自动清理</w:t>
            </w:r>
          </w:p>
          <w:p w14:paraId="5A7609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六、记录查询和统计</w:t>
            </w:r>
          </w:p>
          <w:p w14:paraId="149CD9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1、支持多种记录查询包括：过车记录、停车记录、场内车辆记录、预约记录、班次记录；查询结果支持列表和图片两种方式展示</w:t>
            </w:r>
          </w:p>
          <w:p w14:paraId="39AED5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2、支持车流量按日、月、年、自定义日期，统计停车场车辆进出的车流量总数、平均车流量、峰值车流量</w:t>
            </w:r>
          </w:p>
          <w:p w14:paraId="5936C7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八、岗亭管控</w:t>
            </w:r>
          </w:p>
          <w:p w14:paraId="258319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1、支持查看停车场的总车位、剩余车位和预约车位信息</w:t>
            </w:r>
          </w:p>
          <w:p w14:paraId="2A30F7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2、支持查看各车道的过车信息，包含过车时间、车牌号、放行状态</w:t>
            </w:r>
          </w:p>
          <w:p w14:paraId="5A7CDF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3、支持控制车道开闸、常开、关闸</w:t>
            </w:r>
          </w:p>
          <w:p w14:paraId="41B6E8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4、支持查看各车道设备的在线状态</w:t>
            </w:r>
          </w:p>
          <w:p w14:paraId="7F2152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5、支持对在出入口的车辆进行校正车牌、修改车辆类型和手动放行。</w:t>
            </w:r>
          </w:p>
          <w:p w14:paraId="044ADB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6、支持查询过车记录、预约车辆、固定车辆信息</w:t>
            </w:r>
          </w:p>
          <w:p w14:paraId="68C362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7、支持将车辆添加到黑名单</w:t>
            </w:r>
          </w:p>
          <w:p w14:paraId="43901D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8、支持违章车辆在出入口实现放行限制，并展示违章详情记录</w:t>
            </w:r>
          </w:p>
          <w:p w14:paraId="362444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九、中心管控 </w:t>
            </w:r>
          </w:p>
          <w:p w14:paraId="52202F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1、支持查看车道的过车记录，包含过车时间、车牌号码、车辆类型、停车库、入库口等</w:t>
            </w:r>
          </w:p>
          <w:p w14:paraId="7896E6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2、支持远程控制车道，对车道进行开闸、关闸、常开和呼叫的操作</w:t>
            </w:r>
          </w:p>
          <w:p w14:paraId="101A73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3、支持远程查看各车道设备的在线状态</w:t>
            </w:r>
          </w:p>
          <w:p w14:paraId="606957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4、支持出入口票箱、可视对讲发起与中心对讲，中心对车辆进行校正车牌、手动放行的操作</w:t>
            </w:r>
          </w:p>
          <w:p w14:paraId="570499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5、支持在中心查看一户多车车辆的车辆信息和在场状态，可通过强制离场操作将已在场内的一户多车车辆改为离场状态</w:t>
            </w:r>
          </w:p>
          <w:p w14:paraId="64FD23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性能：</w:t>
            </w:r>
          </w:p>
          <w:p w14:paraId="2A8E61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1、支持每秒过车处理30条；</w:t>
            </w:r>
          </w:p>
          <w:p w14:paraId="16568E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2、单个岗亭每秒过车处理3条；</w:t>
            </w:r>
          </w:p>
          <w:p w14:paraId="45E741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3、单个岗亭可管理车道数9个；</w:t>
            </w:r>
          </w:p>
          <w:p w14:paraId="7F962C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4、支持最大管理车道数量60个</w:t>
            </w:r>
          </w:p>
          <w:p w14:paraId="0E5E53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5、支持管理最大固定车管理数量3万辆；</w:t>
            </w:r>
          </w:p>
          <w:p w14:paraId="34ED11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6、支持过车数据最大存储7500万条；</w:t>
            </w:r>
          </w:p>
          <w:p w14:paraId="331076E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7、支持过车数据最大保存时长3年。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78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C8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626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04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89F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58E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29F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67E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可对企业内部人员、承包商人员信息、资政证书、进出记录、培训记录等进行统一管理与查询。</w:t>
            </w:r>
          </w:p>
          <w:p w14:paraId="37C50A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1、内部人员及承包商信息包含：人员信息（姓名、性别、证件、电话、学历、人员编号、岗位、职务、职称、管理角色、工种、专业、技能等级、安全积分、是否为特殊作业人员、是否为值班值守人员）、</w:t>
            </w:r>
          </w:p>
          <w:p w14:paraId="192F93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2、支持对企业内部人员、承包商人员资质证书进行管理，并支持资质证书过期提醒。资质证书包含：注册安全工程师、安全任职资格证书、特种作业操作证书、安全生产管理人员安全任职资格证书。</w:t>
            </w:r>
          </w:p>
          <w:p w14:paraId="3D1D40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性能：支持管理最大人员数量5万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A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2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BF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C4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D6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434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0FD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C08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可以查看企业内普通车辆、危化品车辆、危化品车辆管控名单、危化品车辆驾驶员信息、危化品车辆驾驶员管控名单清单及信息。</w:t>
            </w:r>
          </w:p>
          <w:p w14:paraId="53A763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1、可查看企业内的普通车辆清单，可查询普通车辆的信息（车牌、许可状态、所属企业、驾驶员姓名、驾驶员身份证号码）及预约历史</w:t>
            </w:r>
          </w:p>
          <w:p w14:paraId="5C0245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可查看企业内的危化品车辆清单，可查询危化品车辆的信息（车牌及车牌照片、车辆信息、行驶证信息及照片、道路运输证信息及照片、企业信息及照片、通行证申请信息、违规信息、管控名单信息）、通行证申请信息、违规信息、管控名单信息。</w:t>
            </w:r>
          </w:p>
          <w:p w14:paraId="074C18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可查看企业内的危化品车辆驾驶员清单，可查询危化品车辆驾驶员的信息（姓名、身份证号码、身份证信息及照片、驾驶证信息及照片、从业资格证信息及照片、企业信息及照片、通行证申请信息、违规信息、管控名单信息。）、通行证申请信息、违规信息、管控名单信息。</w:t>
            </w:r>
          </w:p>
          <w:p w14:paraId="20E5D0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4、可通过车牌、进入管控名单方式、车辆类型等方式查询企业内的危化品车辆管控名单。支持手动添加管控名单及管控名单生效、失效规则。</w:t>
            </w:r>
          </w:p>
          <w:p w14:paraId="586EB0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5、可通过姓名、身份证号码、进入管控名单方式查询企业内的危化品车辆驾驶员管控名单。支持手动添加管控名单及管控名单生效、失效规则。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38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2D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1D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AE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F97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事件中心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8BA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24C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C14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p>
          <w:p w14:paraId="56C823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一、事件联动管理</w:t>
            </w:r>
          </w:p>
          <w:p w14:paraId="0654C9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1、支持事件联动规则配置管理，包括规则增删改查，支持自定义联动规则模板；</w:t>
            </w:r>
          </w:p>
          <w:p w14:paraId="6DC86F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2、支持事件规则计划模板，包括全天候模式、工作日模式、周末模式及自定义模式；</w:t>
            </w:r>
          </w:p>
          <w:p w14:paraId="253B39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多种报警事件配置联动，包括：视频事件、入侵报警事件、IO事件、门禁事件、停车场事件、可视对讲事件、行车监控事件、梯控事件、动环事件、紧急报警事件、人脸事件、卡口事件、消防事件、测温事件等事件联动动作配置；</w:t>
            </w:r>
          </w:p>
          <w:p w14:paraId="5612A3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4、提供7种高级联动规则模版配置，支持配置满足在指定时间段存在多个触发事件类型而联动多个并发动作的场景。</w:t>
            </w:r>
          </w:p>
          <w:p w14:paraId="7D4122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二、事件检索管理</w:t>
            </w:r>
          </w:p>
          <w:p w14:paraId="63A4E4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1、支持报警事件自定义时间存储，最长支持36个月存储；</w:t>
            </w:r>
          </w:p>
          <w:p w14:paraId="4C319D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2、支持多种维度检索报警事件，包括：区域、位置、事件源、事件等级、时间、状态等维度；</w:t>
            </w:r>
          </w:p>
          <w:p w14:paraId="1B6EDD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3、支持事件详情查看，包括抓图、录像等；</w:t>
            </w:r>
          </w:p>
          <w:p w14:paraId="565A41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4、支持对报警事件进行标记、处理以及导出。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828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90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CC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40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1FF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34F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6B1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12D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禁管理通过接入多种门禁设备，利用卡片、人脸、指纹介质，实现人员身份识别、出入管控等智能应用，主要提供门禁权限管理、事件管理、门禁状态查看、门禁远程控制、人员出入记录实时展示、远程呼叫对讲等应用。默认包含50路门禁点授权。</w:t>
            </w:r>
          </w:p>
          <w:p w14:paraId="1DAABE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一、提供门禁权限管理应用</w:t>
            </w:r>
          </w:p>
          <w:p w14:paraId="5D8250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1、支持按组织、人员、人员分组、门禁点维度配置权限；</w:t>
            </w:r>
          </w:p>
          <w:p w14:paraId="189F01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2、支持设置权限有效期、计划模板、假日计划；</w:t>
            </w:r>
          </w:p>
          <w:p w14:paraId="620DFD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3、支持按人员特征属性生成人员分组，如证件类型、岗位等级、职称等；</w:t>
            </w:r>
          </w:p>
          <w:p w14:paraId="737412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4、支持权限增量下发、初始化下发；</w:t>
            </w:r>
          </w:p>
          <w:p w14:paraId="6819BF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5、支持按时段配置门的常开常闭状态；</w:t>
            </w:r>
          </w:p>
          <w:p w14:paraId="1549F2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6、支持认证方式设置，可按不同时段设置不同的认证方式，如刷卡+人脸、刷卡+指纹；</w:t>
            </w:r>
          </w:p>
          <w:p w14:paraId="7CB572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7、支持首卡常开，刷首卡可使门保持常开至常开时间段结束，若此期间再次刷首卡，门恢复正常状态；</w:t>
            </w:r>
          </w:p>
          <w:p w14:paraId="05193E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8、支持特殊卡设置，包括残疾人卡（可延长开门时间）、黑名单卡（无法开门）、胁迫卡（正常开门并上报胁迫报警）、超级卡（不受限于门常闭、刷卡+密码认证需要密码确认的规则，刷卡直接开门）；</w:t>
            </w:r>
          </w:p>
          <w:p w14:paraId="57892B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9、针对刷卡开门方式，即使卡片权限未同步到设备，也可通过中心平台完成权限认证开门。</w:t>
            </w:r>
          </w:p>
          <w:p w14:paraId="45C9DA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10、支持调整已超出或即将超出设备容量的人员生物特征；</w:t>
            </w:r>
          </w:p>
          <w:p w14:paraId="7C652F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11、支持按门禁点、人员、组织、区域等多维度，综合查询权限配置、下发状态等信息；</w:t>
            </w:r>
          </w:p>
          <w:p w14:paraId="6BD1DF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二、提供门禁事件管理应用</w:t>
            </w:r>
          </w:p>
          <w:p w14:paraId="4F304D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1、支持配置平台接收到事件类型；</w:t>
            </w:r>
          </w:p>
          <w:p w14:paraId="4CC168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2、支持配置事件保存时长；</w:t>
            </w:r>
          </w:p>
          <w:p w14:paraId="368F71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3、支持查询人员出入事件和设备事件；</w:t>
            </w:r>
          </w:p>
          <w:p w14:paraId="133F56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三、提供门禁状态查看及远程控制应用</w:t>
            </w:r>
          </w:p>
          <w:p w14:paraId="32285E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1、支持查看门禁状态，包括开关状态、在离线状态；</w:t>
            </w:r>
          </w:p>
          <w:p w14:paraId="6FE90A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2、支持对门禁点反控，包括对门进行开、关、常开、常闭的反控操作；</w:t>
            </w:r>
          </w:p>
          <w:p w14:paraId="3189D4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3、支持远程呼叫应用，门禁一体机呼叫中心发起开门请求，cs客户端弹窗显示一体机视频，中心可选择接听、拒绝、开门；</w:t>
            </w:r>
          </w:p>
          <w:p w14:paraId="52A5A5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四、提供人员出入记录实时展示应用</w:t>
            </w:r>
          </w:p>
          <w:p w14:paraId="1D0746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1、支持人员进出事件实时展示，包括人员基础信息、抓拍图片、进出时间、设备名称等，可全屏展示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586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8A0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51E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E1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16A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访客管理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0F6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13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iSecure Center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2E0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基于园区的iccm封闭园区管理应用服务。</w:t>
            </w:r>
          </w:p>
          <w:p w14:paraId="5306BF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访客预约、访客审批、访客权限管理、访客受限名单、访客登记、访客签离、保安核验、访客通知、通行记录与访客轨迹查看等功能。支持微信公众号、企业微信、钉钉等三方集成。支持针对多场景预约自定义表单控制。</w:t>
            </w:r>
          </w:p>
          <w:p w14:paraId="7790DE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一、提供访客预约管理应用</w:t>
            </w:r>
          </w:p>
          <w:p w14:paraId="2FA73F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访客端提供H5页面，支持访客登录后发起普通预约，并支持免登陆的快速预约。预约表单支持自定义配置。</w:t>
            </w:r>
          </w:p>
          <w:p w14:paraId="288058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访客端提供我的预约功能，支持查看与我相关的访客单，支持应邀、修改、作废、取消、再次预约等操作。</w:t>
            </w:r>
          </w:p>
          <w:p w14:paraId="6CA639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员工端提供平台BS端发起邀约，支持填写访客信息后填写发起邀约。</w:t>
            </w:r>
          </w:p>
          <w:p w14:paraId="0CAEE4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员工端提供H5页面，除与BS相同的普通邀约外支持快速邀约，只填写少量信息（手机号、姓名）后发起邀约，通知访客后在访客端应邀后提交表单。</w:t>
            </w:r>
          </w:p>
          <w:p w14:paraId="0B0440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自助访客机支持访客现场预约。</w:t>
            </w:r>
          </w:p>
          <w:p w14:paraId="3BFE3E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二、提供访客审批管理应用</w:t>
            </w:r>
          </w:p>
          <w:p w14:paraId="454F9A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平台BS端提供访客审批配置功能，默认预置访客预约与员工邀约两个流程（可扩展）。</w:t>
            </w:r>
          </w:p>
          <w:p w14:paraId="6FD82A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审批节点支持按照人员、组织、角色、职务、关系人等多种方式添加审批人，配置灵活并可扩展。</w:t>
            </w:r>
          </w:p>
          <w:p w14:paraId="39C14D86">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员工端提供BS及H5审批管理功能，支持查看我的待审批、已审批列表，支持待审批单据驳回和审批通过；支持批量审批。</w:t>
            </w:r>
          </w:p>
          <w:p w14:paraId="36712EF3">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审批中支持开启通行权限调整，开启后审批中可修改单据下发的通行权限组。</w:t>
            </w:r>
          </w:p>
          <w:p w14:paraId="2942D735">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三、提供访客权限管理应用</w:t>
            </w:r>
          </w:p>
          <w:p w14:paraId="481DB146">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平台BS端提供通行权限配置功能，支持按园区配置多个通行权限组。</w:t>
            </w:r>
          </w:p>
          <w:p w14:paraId="51F1DA5F">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权限组支持添加门禁设备、停车场设备、梯控设备和人脸分组。</w:t>
            </w:r>
          </w:p>
          <w:p w14:paraId="35DA934C">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支持访客就餐管理，可配置访客是否就餐，和食堂消费平台打通，实现访客自动就餐</w:t>
            </w:r>
          </w:p>
          <w:p w14:paraId="060B6D20">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支持按签到方式下发通行权限，自动签到时在即将到达访问时间时自动下发，手动签到时在访客机签到时下发权限。</w:t>
            </w:r>
          </w:p>
          <w:p w14:paraId="2BC35C4B">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支持门禁事件、停车场事件触发签到签离。</w:t>
            </w:r>
          </w:p>
          <w:p w14:paraId="38CD3310">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四、提供访客受限名单管理</w:t>
            </w:r>
          </w:p>
          <w:p w14:paraId="15467E5E">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平台BS端支持手动添加手机号、证件号、车牌号（配置侧可配置）将访客添加访客受限名单。</w:t>
            </w:r>
          </w:p>
          <w:p w14:paraId="06C8E995">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访客受限名单访客不允许预约、不允许登记。</w:t>
            </w:r>
          </w:p>
          <w:p w14:paraId="4E483965">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访客受限名单访客预约时会产生消息可配置推送给管理员或其他角色。</w:t>
            </w:r>
          </w:p>
          <w:p w14:paraId="3F16790A">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五、提供访客登记应用</w:t>
            </w:r>
          </w:p>
          <w:p w14:paraId="218884C5">
            <w:pPr>
              <w:keepNext w:val="0"/>
              <w:keepLines w:val="0"/>
              <w:pageBreakBefore w:val="0"/>
              <w:widowControl/>
              <w:numPr>
                <w:ilvl w:val="0"/>
                <w:numId w:val="11"/>
              </w:numPr>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支持人工访客机已预约登记，已预约访客通过访客码、身份证、手机尾号在人工访客机进行登记；</w:t>
            </w:r>
          </w:p>
          <w:p w14:paraId="1BBAB723">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支持人工访客机未预约登记，未预约访客通过刷身份证或手动输入在人工访客机上进行未预约登记；</w:t>
            </w:r>
          </w:p>
          <w:p w14:paraId="74198D2B">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支持自助访客机已预约登记，已预约访客通过访客码、身份证、手机尾号在自助访客机进行登记；</w:t>
            </w:r>
          </w:p>
          <w:p w14:paraId="3318FB1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六、提供访客签离应用</w:t>
            </w:r>
          </w:p>
          <w:p w14:paraId="66A6E3B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支持在自助/人工访客机上手动签离，签离后回收权限。</w:t>
            </w:r>
          </w:p>
          <w:p w14:paraId="1D3263E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支持通过门禁事件触发签离。</w:t>
            </w:r>
          </w:p>
          <w:p w14:paraId="2A40CDB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支持被访人手动签离，被访人签离后可预留部分时间后回收权限。</w:t>
            </w:r>
          </w:p>
          <w:p w14:paraId="666C052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未签离单据支持超期自动签离。</w:t>
            </w:r>
          </w:p>
          <w:p w14:paraId="09413336">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七、提供保安核验管理应用</w:t>
            </w:r>
          </w:p>
          <w:p w14:paraId="4803F1F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提供保安H5页面，支持保安通过扫码（扫通行凭证）核验或人工核验功能人工签到、签离操作。</w:t>
            </w:r>
          </w:p>
          <w:p w14:paraId="46AC4C2A">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提供待访列表保安可查看全部/今日的待访访客列表。</w:t>
            </w:r>
          </w:p>
          <w:p w14:paraId="552558A4">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提供访客来访记录列表，可查看所有已完成的访客单。</w:t>
            </w:r>
          </w:p>
          <w:p w14:paraId="2209EB3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八、提供访客通知管理</w:t>
            </w:r>
          </w:p>
          <w:p w14:paraId="3858760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平台BS端提供访客通知配置，可自定义是否开启节点通知。</w:t>
            </w:r>
          </w:p>
          <w:p w14:paraId="779A1B5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支持控制三方通知（公众号、企微、钉钉、短信、待办）和通知角色（访客、同行人、被访人、审批人、自定义人员）是否开启。</w:t>
            </w:r>
          </w:p>
          <w:p w14:paraId="125F9CC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支持将访客状态变更及异常事件推送ESC，方便三方对接。</w:t>
            </w:r>
          </w:p>
          <w:p w14:paraId="1A4B2FF2">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九、提供通行记录与访客轨迹查看</w:t>
            </w:r>
          </w:p>
          <w:p w14:paraId="300E790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提供通行记录页面，支持查看访客产生的门禁和车辆事件。</w:t>
            </w:r>
          </w:p>
          <w:p w14:paraId="66C44D9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提供访客轨迹页面，支持将访客人脸下发到人脸分组，访客轨迹支持将访客抓拍事件（重点人员）和通行事件展示在地图上。</w:t>
            </w:r>
          </w:p>
          <w:p w14:paraId="7EBACD9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十、提供对接三方集成能力</w:t>
            </w:r>
          </w:p>
          <w:p w14:paraId="61B9EBB7">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支持将访客H5、员工H5、保安H5集成到微信公众号上。并提供相应消息推送。</w:t>
            </w:r>
          </w:p>
          <w:p w14:paraId="47AF011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支持将员工H5、保安H5集成到企微、钉钉上，并提供相应消息推送。</w:t>
            </w:r>
          </w:p>
          <w:p w14:paraId="5EF8360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十一、提供丰富的可扩展能力</w:t>
            </w:r>
          </w:p>
          <w:p w14:paraId="7BF597CC">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支持表单自定义，提供控制表单字段是否启用、是否必填的能力，同时支持扩展自定义字段。</w:t>
            </w:r>
          </w:p>
          <w:p w14:paraId="696FFA5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 支持扩展审批流程，审批人员等动态扩展配置。</w:t>
            </w:r>
          </w:p>
          <w:p w14:paraId="76B729A8">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 支持扩展消息模板，访客通知可直接关联自定义模板。</w:t>
            </w:r>
          </w:p>
          <w:p w14:paraId="0A9F0ED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支持访客H5、员工H5菜单自定义显隐、支持编辑按钮是否启用。</w:t>
            </w:r>
          </w:p>
          <w:p w14:paraId="27BE2880">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支持作废、取消意见是否必填，支持是否启用推送企微日程。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70E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41E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6CB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A3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D9F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7D7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B4A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iVMS-9000N-S5/C500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6D6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2U海光3000双路机架式服务器 </w:t>
            </w:r>
          </w:p>
          <w:p w14:paraId="49A753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CPU：配置2颗C86 HYGON 3350处理器，单处理器物理核心数≥8核，主频≥3.0 GHz，末级缓存容量≥16 MB，线程数≥16线程，热设计功耗≥90 W，支持内存的最高速率≥3200 MHz，通道数≥2，位宽≥64； </w:t>
            </w:r>
          </w:p>
          <w:p w14:paraId="651204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内存：配置64G DDR4，8根内存插槽； </w:t>
            </w:r>
          </w:p>
          <w:p w14:paraId="4632F5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硬盘：2块1.2T 10K SAS 硬盘（Raid1），前置最大可选支持12块3.5寸(兼容2.5寸)热插拔SATA/SAS硬盘，板载最大可选支持1个SATA M.2硬盘； </w:t>
            </w:r>
          </w:p>
          <w:p w14:paraId="764DD4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阵列卡：配置SAS_HBA卡（支持RAID 0/1/10）； </w:t>
            </w:r>
          </w:p>
          <w:p w14:paraId="6386CF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PCIE扩展：最大支持4个标准PCIE插槽 </w:t>
            </w:r>
          </w:p>
          <w:p w14:paraId="4E716C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网口：标配板载2个千兆电口，支持选配10GbE SFP+等多种网络接口； </w:t>
            </w:r>
          </w:p>
          <w:p w14:paraId="2CA845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其他接口：标配1个IPMI RJ-45管理接口，位于机箱后部；7个USB 3.0接口 4个位于机箱后部，2个位于机箱前部，1个位于机箱内部；2个VGA接口 1个位于机箱前部，1个位于机箱后部； </w:t>
            </w:r>
          </w:p>
          <w:p w14:paraId="1780D1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电源：配置550W（1+1）高效铂金CRPS冗余电源； </w:t>
            </w:r>
          </w:p>
          <w:p w14:paraId="116451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机箱规格：87.5mm(高)x 446.6mm(宽)x700mm(深) 不含箱耳； </w:t>
            </w:r>
          </w:p>
          <w:p w14:paraId="210B63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设备重量：最大23千克（含导轨）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42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E8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C42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37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二、出入口道闸</w:t>
            </w:r>
          </w:p>
        </w:tc>
      </w:tr>
      <w:tr w14:paraId="0ED5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74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主门口、生产通道、货运门口1、货运门口2</w:t>
            </w:r>
          </w:p>
        </w:tc>
      </w:tr>
      <w:tr w14:paraId="7594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59B318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73AA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抓拍显示一体机</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8F10F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1D1A5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DS-TMC403-ES(LED)</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4FE51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LED抓拍显示一体机</w:t>
            </w:r>
          </w:p>
          <w:p w14:paraId="4C6275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高清晰：400万像素高清摄像机，最大分辨率可达2688*1520，帧率高达25fps</w:t>
            </w:r>
          </w:p>
          <w:p w14:paraId="49BDE5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集成度高：集摄像机、显示屏、补光灯、镜头、喇叭功放于一体，有效节省施工布线成本</w:t>
            </w:r>
          </w:p>
          <w:p w14:paraId="5237E4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支持LED显示屏</w:t>
            </w:r>
          </w:p>
          <w:p w14:paraId="6A677B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内置高亮LED灯，白光/红外二合一，智能环保补光技术，满足不同场景需求</w:t>
            </w:r>
          </w:p>
          <w:p w14:paraId="4CA183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支持电动变焦镜头，便于调试</w:t>
            </w:r>
          </w:p>
          <w:p w14:paraId="57B22C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识别车牌种类多：支持中国大陆，中国香港，中国澳门车牌识别</w:t>
            </w:r>
          </w:p>
          <w:p w14:paraId="0D4245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授权名单控制：支持授权名单的导入及对比，可直接联动道闸开闸，支持脱机运行</w:t>
            </w:r>
          </w:p>
          <w:p w14:paraId="61E4B0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支持智能化视频检测抓拍，实现机动车精准抓拍识别，准确率99.9%以上</w:t>
            </w:r>
          </w:p>
          <w:p w14:paraId="681BB1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支持跟车不落杆，实现快速通行</w:t>
            </w:r>
          </w:p>
          <w:p w14:paraId="1378A4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机箱表面采用抗紫外线静电喷塑工艺，不起皮，不褪色，防尘防水等级符合室外设备IP54级别要求</w:t>
            </w:r>
          </w:p>
          <w:p w14:paraId="2E80DE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一体化结构设计，布线简单，调试方便</w:t>
            </w:r>
          </w:p>
          <w:p w14:paraId="3C3FFA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支持玻璃加热功能</w:t>
            </w:r>
          </w:p>
          <w:p w14:paraId="00DFDA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传感器类型：1/3" Progressive Scan CMOS</w:t>
            </w:r>
          </w:p>
          <w:p w14:paraId="5B65C7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最低照度：彩色0.04lx(F2.0,AGC ON)</w:t>
            </w:r>
          </w:p>
          <w:p w14:paraId="34EA8D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黑白0.02lx(F2.0,AGC ON)</w:t>
            </w:r>
          </w:p>
          <w:p w14:paraId="3E9D86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快门：1/30秒至1/100,000秒</w:t>
            </w:r>
          </w:p>
          <w:p w14:paraId="14ED4D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镜头：3.1~6mm电动变焦镜头</w:t>
            </w:r>
          </w:p>
          <w:p w14:paraId="7EFAFE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自动光圈：DC驱动</w:t>
            </w:r>
          </w:p>
          <w:p w14:paraId="06FE7A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数字降噪：3D数字降噪 </w:t>
            </w:r>
          </w:p>
          <w:p w14:paraId="3F8330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视频压缩标准：H.264/H.265/MJPEG</w:t>
            </w:r>
          </w:p>
          <w:p w14:paraId="25108D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视频压缩码率：32 Kbps~16M bps </w:t>
            </w:r>
          </w:p>
          <w:p w14:paraId="79D99D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图像格式：JPEG</w:t>
            </w:r>
          </w:p>
          <w:p w14:paraId="3961F4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最大图像尺寸：2688×1520</w:t>
            </w:r>
          </w:p>
          <w:p w14:paraId="6225C1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帧率：25fps(2688×1520)</w:t>
            </w:r>
          </w:p>
          <w:p w14:paraId="216D7A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图像设置：饱和度,亮度,对比度,白平衡,增益,3D降噪通过软件可调 </w:t>
            </w:r>
          </w:p>
          <w:p w14:paraId="73F8A2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支持协议：TCP/IP,HTTP,FTP,ISUP,RTP,RTSP,DNS,ONVIF, ISAPI,SDK,GB28181,1400,OTAP</w:t>
            </w:r>
          </w:p>
          <w:p w14:paraId="706584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通用功能：心跳,密码保护,NTP校时 </w:t>
            </w:r>
          </w:p>
          <w:p w14:paraId="1A29AD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图片格式：采用JPEG编码,图片质量可设</w:t>
            </w:r>
          </w:p>
          <w:p w14:paraId="527E07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智能识别：车牌识别</w:t>
            </w:r>
          </w:p>
          <w:p w14:paraId="51C86C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补光灯控制：补光灯自动光控、时控可选；</w:t>
            </w:r>
          </w:p>
          <w:p w14:paraId="7EF2CA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通讯接口：1个RJ45 10M/100M 自适应以太网口 ，1个RS-232接口</w:t>
            </w:r>
          </w:p>
          <w:p w14:paraId="3B396C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补光灯：内置9颗LED补光灯</w:t>
            </w:r>
          </w:p>
          <w:p w14:paraId="7D3007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外部接口：2路触发输入；2路继电器输出，支持道闸开、关、停 </w:t>
            </w:r>
          </w:p>
          <w:p w14:paraId="10B3F1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工作温度和湿度：-30℃~70℃,湿度小于90%(无凝结)</w:t>
            </w:r>
          </w:p>
          <w:p w14:paraId="2F2F88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电源供应：AC100V~240V</w:t>
            </w:r>
          </w:p>
          <w:p w14:paraId="0FD7F8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功耗：35W MAX</w:t>
            </w:r>
          </w:p>
          <w:p w14:paraId="337AD5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防护等级：IP54</w:t>
            </w:r>
          </w:p>
          <w:p w14:paraId="55E9C4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重量：14KG</w:t>
            </w:r>
          </w:p>
          <w:p w14:paraId="762507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尺寸：无包装：1384mm×194mm×186mm </w:t>
            </w:r>
          </w:p>
          <w:p w14:paraId="6E3D89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分辨率：32*64</w:t>
            </w:r>
          </w:p>
          <w:p w14:paraId="759D6A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屏幕类型：LED</w:t>
            </w:r>
          </w:p>
          <w:p w14:paraId="33AE86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亮度：最大1200cd/m²</w:t>
            </w:r>
          </w:p>
          <w:p w14:paraId="74411A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显示屏尺寸：256mm*128mm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85C1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099DF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37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48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41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122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48B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DS-TMG420-(R)(L)(4米八角杆)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BAA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DS-TMG420-(R)(L)(4米八角杆)</w:t>
            </w:r>
          </w:p>
          <w:p w14:paraId="3AC4A6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采用一体化机芯，平行齿轮减速连杆传动，传动平稳、效率高</w:t>
            </w:r>
          </w:p>
          <w:p w14:paraId="5EA094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侧贴式安装，安装方便、结构紧凑</w:t>
            </w:r>
          </w:p>
          <w:p w14:paraId="1FF417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齿轮碳钢材质，淬火处理工艺，抗磨损、抗冲击，寿命长</w:t>
            </w:r>
          </w:p>
          <w:p w14:paraId="523916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直流无刷电机、输出力矩大、体积小，噪音低，精确智能控制</w:t>
            </w:r>
          </w:p>
          <w:p w14:paraId="75D7D1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支持遇阻反弹，开优先保护功能</w:t>
            </w:r>
          </w:p>
          <w:p w14:paraId="408CE8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直流变频控制，快速抬杆慢速落杆，运行平稳</w:t>
            </w:r>
          </w:p>
          <w:p w14:paraId="1E1504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事件日志记录、方便操作追踪</w:t>
            </w:r>
          </w:p>
          <w:p w14:paraId="17366D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支持红外，地感，雷达等多种防砸</w:t>
            </w:r>
          </w:p>
          <w:p w14:paraId="196884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支持故障码数码管检测，日志记录、丰富状态指示，故障码数码管显示、问题定位快捷、方便维护</w:t>
            </w:r>
          </w:p>
          <w:p w14:paraId="380499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手动开闸功能：停电时可转动手轮，使道闸保持开状态</w:t>
            </w:r>
          </w:p>
          <w:p w14:paraId="0CE126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支持强电对接功能（220V）</w:t>
            </w:r>
          </w:p>
          <w:p w14:paraId="5E1099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有效通行宽度：3742mm</w:t>
            </w:r>
          </w:p>
          <w:p w14:paraId="3D5DFF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通道宽度：4112mm</w:t>
            </w:r>
          </w:p>
          <w:p w14:paraId="0AF2F8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道闸高度：4750mm </w:t>
            </w:r>
          </w:p>
          <w:p w14:paraId="2A49589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开/关到位输出接口：各1组</w:t>
            </w:r>
          </w:p>
          <w:p w14:paraId="421FBA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开/关/停控制信号接口：各1组</w:t>
            </w:r>
          </w:p>
          <w:p w14:paraId="771ADB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红外/地感防砸信号接口：1组</w:t>
            </w:r>
          </w:p>
          <w:p w14:paraId="23AC49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485控制接口：1组 </w:t>
            </w:r>
          </w:p>
          <w:p w14:paraId="057C59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杆子类型：直杆， </w:t>
            </w:r>
          </w:p>
          <w:p w14:paraId="77E7AF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道闸系列：四系列</w:t>
            </w:r>
          </w:p>
          <w:p w14:paraId="52C1B4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工作温度和湿度：-30~70 °C </w:t>
            </w:r>
          </w:p>
          <w:p w14:paraId="5DDF70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尺寸(mm)：370*262*1060</w:t>
            </w:r>
          </w:p>
          <w:p w14:paraId="163F9E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防护等级：IP54</w:t>
            </w:r>
          </w:p>
          <w:p w14:paraId="04FDBE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工作电压：AC220V</w:t>
            </w:r>
          </w:p>
          <w:p w14:paraId="17FF60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电机类型：直流无刷</w:t>
            </w:r>
          </w:p>
          <w:p w14:paraId="091130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运行噪声：60分贝</w:t>
            </w:r>
          </w:p>
          <w:p w14:paraId="20732C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电机功率：250W</w:t>
            </w:r>
          </w:p>
          <w:p w14:paraId="1ED241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运行速度：抬杆：3s</w:t>
            </w:r>
          </w:p>
          <w:p w14:paraId="1C9DB0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落杆：3s 3.5s  4s（默认）</w:t>
            </w:r>
          </w:p>
          <w:p w14:paraId="5980F5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机箱材质：SECC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47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6F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608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8D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BA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出入口雷达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CC7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9A1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DS-TMG034(防砸)(国内标配)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83D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【防砸雷达】 </w:t>
            </w:r>
          </w:p>
          <w:p w14:paraId="56220A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采用79GHz MMIC技术，分辨率更高，检测更稳定； </w:t>
            </w:r>
          </w:p>
          <w:p w14:paraId="6400EC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雷达检测距离可调，检测宽度可调，操作方便，通用性强； </w:t>
            </w:r>
          </w:p>
          <w:p w14:paraId="7B1F83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无需学习背景，适应更多复杂现场环境； </w:t>
            </w:r>
          </w:p>
          <w:p w14:paraId="528930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采用先进的信号处理技术，可稳定检测到行人和车辆，有效防止“砸车、砸人”事故的发生。 </w:t>
            </w:r>
          </w:p>
          <w:p w14:paraId="50E38C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采用LED灯指示雷达工作状态，状态更直观。  </w:t>
            </w:r>
          </w:p>
          <w:p w14:paraId="0AFB7C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自动记录雷达的配置参数，断电重启后可恢复至之前的工作状态； </w:t>
            </w:r>
          </w:p>
          <w:p w14:paraId="3E1075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环境适应性强，检测性能不受电磁干扰、光照、灰尘、雨雪等外界环境影响。 </w:t>
            </w:r>
          </w:p>
          <w:p w14:paraId="5F5418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具备检测车和人功能，支持单人过滤。 </w:t>
            </w:r>
          </w:p>
          <w:p w14:paraId="6EF707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按需选配，雷达支架-STJ1-6-SK-DJ，366000020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B9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07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F4B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6C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B3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出入口控制终端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19A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A65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DS-TPE204-S(PS)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DFE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【4车道】【5机级联】【显示一体机】【含单机PMS管理软件】【含键鼠】</w:t>
            </w:r>
          </w:p>
          <w:p w14:paraId="4D6CFC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双千兆网卡，支持网络容错以及双网络IP设定、双网隔离等应用</w:t>
            </w:r>
          </w:p>
          <w:p w14:paraId="5ED4A9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1个外网千兆网口；5个百兆内网网口具备交换机功能，可接入多路网络设备</w:t>
            </w:r>
          </w:p>
          <w:p w14:paraId="71EB6D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2个标准全功能RS232接口，可直接接入标准RS232接口设备</w:t>
            </w:r>
          </w:p>
          <w:p w14:paraId="617717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标配128G SSD，应对恶劣运行环境，适应性更强</w:t>
            </w:r>
          </w:p>
          <w:p w14:paraId="571F8A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支持大容量图片存储，可选配一块2.5寸机械硬盘</w:t>
            </w:r>
          </w:p>
          <w:p w14:paraId="484F65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3.5mm标准音频孔设计，便于接入标准接口音频设备</w:t>
            </w:r>
          </w:p>
          <w:p w14:paraId="44DA76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 -0℃~+40℃</w:t>
            </w:r>
          </w:p>
          <w:p w14:paraId="13C538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屏幕尺寸：21.5英寸，LCD显示屏</w:t>
            </w:r>
          </w:p>
          <w:p w14:paraId="0C4CBC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分辨率：1080P </w:t>
            </w:r>
          </w:p>
          <w:p w14:paraId="5F24F2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存储功能：128G SSD </w:t>
            </w:r>
          </w:p>
          <w:p w14:paraId="14473B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音频输入：3.5MM标准输入</w:t>
            </w:r>
          </w:p>
          <w:p w14:paraId="776BDC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音频输出：3.5MM标准输出</w:t>
            </w:r>
          </w:p>
          <w:p w14:paraId="6988D3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报警输入：4路报警输入</w:t>
            </w:r>
          </w:p>
          <w:p w14:paraId="2C3696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报警输出：4路报警输出 </w:t>
            </w:r>
          </w:p>
          <w:p w14:paraId="4A1A16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RS232接口：2路</w:t>
            </w:r>
          </w:p>
          <w:p w14:paraId="3A1D19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RS485接口：1路</w:t>
            </w:r>
          </w:p>
          <w:p w14:paraId="519CA1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USB接口：4个USB接口</w:t>
            </w:r>
          </w:p>
          <w:p w14:paraId="2CBFE6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网络接口：1个千兆外网网口+5个百兆内网网口 </w:t>
            </w:r>
          </w:p>
          <w:p w14:paraId="4BF270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CPU：N5095</w:t>
            </w:r>
          </w:p>
          <w:p w14:paraId="3249D8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内存：4G </w:t>
            </w:r>
          </w:p>
          <w:p w14:paraId="68947D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HDMI：1路 </w:t>
            </w:r>
          </w:p>
          <w:p w14:paraId="71920F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配件：标配键鼠套装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5F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FE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BD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0D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2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4E9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26B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DS-3E0505-S©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1F1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5个10/100/1000Mbps电口，支持端口状态/流量查询，端口远程重启，交换机远程重启，VLAN隔离，端口隔离，环路保护，DHCP Snooping等，支持EWEB/APP/MACC远程管理，桌面型不可上机架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2B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BA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52FA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61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2F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车检器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668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13D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DS-TMG022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960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独立式,支持接入的最大线圈数2,继电器输出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F4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A3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FE8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4E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AF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地感线圈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B8F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528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DS-TMG023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8F0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0.75mm²，绞合导体，镀锡铜，绝缘蓝色PVC外被，1捆线圈50米。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80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01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B86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AA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0C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雷达支架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9A9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3D3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STJ1-6-SK-DJ</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DBF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触发雷达出货标配有支架，如果支架损坏，可以单独下单。（防砸雷达一般安装道闸机身上，如需单独安装，该支架也适用） </w:t>
            </w:r>
          </w:p>
          <w:p w14:paraId="28C9AF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立柱高726.2mm，宽40mm，底座120mm见方。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39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70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CF0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3C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D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人员通道右边道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62A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1D3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DS-K6B221TME-R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133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右边道</w:t>
            </w:r>
          </w:p>
          <w:p w14:paraId="357924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外设配置：设备标配面部识别组件、IC读卡器等多种外设，实现多样化的认证方式并降低配单及施工难度;</w:t>
            </w:r>
          </w:p>
          <w:p w14:paraId="66407F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通行模式：设备支持进出方向通行状态（受控、常开、常闭、感应、无障碍）的灵活配置</w:t>
            </w:r>
          </w:p>
          <w:p w14:paraId="515379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交叉通行：一方通行后在未关门前对向认证通过，门翼保持不动，由对向人员通行结束门翼再关闭；</w:t>
            </w:r>
          </w:p>
          <w:p w14:paraId="3AF7E9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管控模式：设备可根据实际管控需求设置警戒模式与宽松模式，默认为宽松模式；</w:t>
            </w:r>
          </w:p>
          <w:p w14:paraId="57B77F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自动复位：设备具有自动复位功能，开门后在规定的时间内未通行，系统将自动取消用户的本次通行的权限，可设定通行时间；</w:t>
            </w:r>
          </w:p>
          <w:p w14:paraId="1C6E07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记忆模式：设备支持记忆模式，可实现连续快速通行；</w:t>
            </w:r>
          </w:p>
          <w:p w14:paraId="4016DB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消防联动：设备具有消防联动接口，当消防信号触发时，门翼自动打开，快速引导人员疏散；</w:t>
            </w:r>
          </w:p>
          <w:p w14:paraId="31AF2B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断电通行：设备可选配超级电容，断电时门翼自动打开，人员可自由通行，防止恐慌； </w:t>
            </w:r>
          </w:p>
          <w:p w14:paraId="137B6C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远程控制：设备可选配遥控器或遥控平板支持远程控制；</w:t>
            </w:r>
          </w:p>
          <w:p w14:paraId="5D3AF0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机械防夹：设备具备防夹功能，在门翼复位的过程中遇阻时电机自动停止工作,防止人员受伤；</w:t>
            </w:r>
          </w:p>
          <w:p w14:paraId="4D0A79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激光雷达防夹：设备具备激光雷达防夹功能，在门翼复位的过程中检测到激光雷达触发时电机自动停止工作,防止人员受伤；</w:t>
            </w:r>
          </w:p>
          <w:p w14:paraId="41803B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防冲撞：设备具备防冲撞功能，在没有接收到开门信号时，若受到不超过40N•m的冲击力，门翼保持锁止状态；</w:t>
            </w:r>
          </w:p>
          <w:p w14:paraId="4F7E49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人数统计：设备支持人数统计功能配置，可实时获取设备进出方向总人数；</w:t>
            </w:r>
          </w:p>
          <w:p w14:paraId="2F0D01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人机互动：在不同的通行状态下，设备不同的灯光呈现不同的状态进行区分</w:t>
            </w:r>
          </w:p>
          <w:p w14:paraId="45A505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灯效显示：无门翼灯；闸机指示灯蓝红双色亮度可以自定义调节，符合环境要求；</w:t>
            </w:r>
          </w:p>
          <w:p w14:paraId="3F133C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语音控制：具备文字转语音（TTS）和语音合成技术；</w:t>
            </w:r>
          </w:p>
          <w:p w14:paraId="2DA09C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WEB管理：支持手机Web与PC Web管理，可进行人员管理、参数配置、事件查询、系统维护等操作</w:t>
            </w:r>
          </w:p>
          <w:p w14:paraId="24623E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NFC触碰登录：支持安卓手机开启NFC后触碰指定位置，实现快速登录设备，实现手机Web管理</w:t>
            </w:r>
          </w:p>
          <w:p w14:paraId="0D4A95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使用环境：室内外</w:t>
            </w:r>
          </w:p>
          <w:p w14:paraId="358C94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电机类型：无刷直流伺服电机</w:t>
            </w:r>
          </w:p>
          <w:p w14:paraId="0B7AAA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认证方式：标配IC/CPU/身份证读卡器、一体化摄像头、LED屏幕;双目200w像素摄像头模组，支持通道进向面部识别</w:t>
            </w:r>
          </w:p>
          <w:p w14:paraId="467AB8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激光雷达：4个</w:t>
            </w:r>
          </w:p>
          <w:p w14:paraId="0D92FE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产品尺寸：1200mm×170mm×1070mm;其中摄像头及LED屏幕高度70mm</w:t>
            </w:r>
          </w:p>
          <w:p w14:paraId="7D088E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通道宽度：550-950mm,以50mm为一档;</w:t>
            </w:r>
          </w:p>
          <w:p w14:paraId="38430B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门翼间隙：通道宽度950为70mm;其它均为44mm</w:t>
            </w:r>
          </w:p>
          <w:p w14:paraId="210307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箱体材质：SUS304拉丝不锈钢；顶盖及侧盖厚度1.0±0.1 mm，其他部分钣金0.8±0.08mm</w:t>
            </w:r>
          </w:p>
          <w:p w14:paraId="09F3D9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门翼材质：亚克力;不锈钢;其中亚克力厚度8mm</w:t>
            </w:r>
          </w:p>
          <w:p w14:paraId="31B1CC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通行速率：20-60人每分钟，受人员情况和通行模式影响</w:t>
            </w:r>
          </w:p>
          <w:p w14:paraId="7948E5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电源电压：AC 200-240 V，50/60 Hz</w:t>
            </w:r>
          </w:p>
          <w:p w14:paraId="2B4554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整机功耗：待机35W、运行60W、最大80W</w:t>
            </w:r>
          </w:p>
          <w:p w14:paraId="2CAE1F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工作温度：-20℃-+70℃;温度低于-20℃时增配加热模块可支持到-40℃</w:t>
            </w:r>
          </w:p>
          <w:p w14:paraId="067D4E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工作湿度：0%至95%（不凝聚成水滴）</w:t>
            </w:r>
          </w:p>
          <w:p w14:paraId="306D34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产品重量：裸机约24Kg;带包装约31Kg;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93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53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F86F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EC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0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人员通道中间道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932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4F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DS-K6B221TME-M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802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中间道</w:t>
            </w:r>
          </w:p>
          <w:p w14:paraId="2104E0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外设配置：设备标配面部识别组件、IC读卡器等多种外设，实现多样化的认证方式并降低配单及施工难度;</w:t>
            </w:r>
          </w:p>
          <w:p w14:paraId="3FC775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通行模式：设备支持进出方向通行状态（受控、常开、常闭、感应、无障碍）的灵活配置</w:t>
            </w:r>
          </w:p>
          <w:p w14:paraId="635BD0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交叉通行：一方通行后在未关门前对向认证通过，门翼保持不动，由对向人员通行结束门翼再关闭；</w:t>
            </w:r>
          </w:p>
          <w:p w14:paraId="6DC508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管控模式：设备可根据实际管控需求设置警戒模式与宽松模式，默认为宽松模式；</w:t>
            </w:r>
          </w:p>
          <w:p w14:paraId="50D8E0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自动复位：设备具有自动复位功能，开门后在规定的时间内未通行，系统将自动取消用户的本次通行的权限，可设定通行时间；</w:t>
            </w:r>
          </w:p>
          <w:p w14:paraId="1CF58B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记忆模式：设备支持记忆模式，可实现连续快速通行；</w:t>
            </w:r>
          </w:p>
          <w:p w14:paraId="4B7936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消防联动：设备具有消防联动接口，当消防信号触发时，门翼自动打开，快速引导人员疏散；</w:t>
            </w:r>
          </w:p>
          <w:p w14:paraId="731B36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断电通行：设备可选配超级电容，断电时门翼自动打开，人员可自由通行，防止恐慌； </w:t>
            </w:r>
          </w:p>
          <w:p w14:paraId="30AB91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远程控制：设备可选配遥控器或遥控平板支持远程控制；</w:t>
            </w:r>
          </w:p>
          <w:p w14:paraId="60A99C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机械防夹：设备具备防夹功能，在门翼复位的过程中遇阻时电机自动停止工作,防止人员受伤；</w:t>
            </w:r>
          </w:p>
          <w:p w14:paraId="6E5FB2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激光雷达防夹：设备具备激光雷达防夹功能，在门翼复位的过程中检测到激光雷达触发时电机自动停止工作,防止人员受伤；</w:t>
            </w:r>
          </w:p>
          <w:p w14:paraId="3A65DBE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防冲撞：设备具备防冲撞功能，在没有接收到开门信号时，若受到不超过40N•m的冲击力，门翼保持锁止状态；</w:t>
            </w:r>
          </w:p>
          <w:p w14:paraId="52C663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人数统计：设备支持人数统计功能配置，可实时获取设备进出方向总人数；</w:t>
            </w:r>
          </w:p>
          <w:p w14:paraId="1BFB4D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人机互动：在不同的通行状态下，设备不同的灯光呈现不同的状态进行区分</w:t>
            </w:r>
          </w:p>
          <w:p w14:paraId="140E98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灯效显示：无门翼灯；闸机指示灯蓝红双色亮度可以自定义调节，符合环境要求；</w:t>
            </w:r>
          </w:p>
          <w:p w14:paraId="23049B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语音控制：具备文字转语音（TTS）和语音合成技术；</w:t>
            </w:r>
          </w:p>
          <w:p w14:paraId="6D16B1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WEB管理：支持手机Web与PC Web管理，可进行人员管理、参数配置、事件查询、系统维护等操作</w:t>
            </w:r>
          </w:p>
          <w:p w14:paraId="52E006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NFC触碰登录：支持安卓手机开启NFC后触碰指定位置，实现快速登录设备，实现手机Web管理</w:t>
            </w:r>
          </w:p>
          <w:p w14:paraId="3FF2E9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使用环境：室内外</w:t>
            </w:r>
          </w:p>
          <w:p w14:paraId="66286F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电机类型：无刷直流伺服电机</w:t>
            </w:r>
          </w:p>
          <w:p w14:paraId="3EA178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认证方式：标配IC/CPU/身份证读卡器、一体化摄像头、LED屏幕;双目200w像素摄像头模组，支持通道双向面部识别</w:t>
            </w:r>
          </w:p>
          <w:p w14:paraId="6E6EC4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激光雷达：4个</w:t>
            </w:r>
          </w:p>
          <w:p w14:paraId="5AA740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产品尺寸：1200mm×170mm×1070mm;其中摄像头及LED屏幕高度70mm</w:t>
            </w:r>
          </w:p>
          <w:p w14:paraId="54E9D8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通道宽度：550-950mm,以50mm为一档;</w:t>
            </w:r>
          </w:p>
          <w:p w14:paraId="160C3E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门翼间隙：通道宽度950为70mm;其它均为44mm</w:t>
            </w:r>
          </w:p>
          <w:p w14:paraId="7CDF0A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箱体材质：SUS304拉丝不锈钢；顶盖及侧盖厚度1.0±0.1 mm，其他部分钣金0.8±0.08mm</w:t>
            </w:r>
          </w:p>
          <w:p w14:paraId="291DD8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门翼材质：亚克力;不锈钢;其中亚克力厚度8mm</w:t>
            </w:r>
          </w:p>
          <w:p w14:paraId="034A60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通行速率：20-60人每分钟，受人员情况和通行模式影响</w:t>
            </w:r>
          </w:p>
          <w:p w14:paraId="7D2F9F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电源电压：AC 200-240 V，50/60 Hz</w:t>
            </w:r>
          </w:p>
          <w:p w14:paraId="4106E4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整机功耗：待机70W、运行120W、最大160W</w:t>
            </w:r>
          </w:p>
          <w:p w14:paraId="707912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工作温度：-20℃-+70℃;温度低于-20℃时增配加热模块可支持到-40℃</w:t>
            </w:r>
          </w:p>
          <w:p w14:paraId="6530A4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工作湿度：0%至95%（不凝聚成水滴）</w:t>
            </w:r>
          </w:p>
          <w:p w14:paraId="1A7A63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产品重量：裸机约25Kg;带包装约32Kg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EE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24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8CB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59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5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人员通道左边道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7F6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CC5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DS-K6B221TME-L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433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左边道</w:t>
            </w:r>
          </w:p>
          <w:p w14:paraId="54F2C0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外设配置：设备标配面部识别组件、IC读卡器等多种外设，实现多样化的认证方式并降低配单及施工难度;</w:t>
            </w:r>
          </w:p>
          <w:p w14:paraId="4F2260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通行模式：设备支持进出方向通行状态（受控、常开、常闭、感应、无障碍）的灵活配置</w:t>
            </w:r>
          </w:p>
          <w:p w14:paraId="28A806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交叉通行：一方通行后在未关门前对向认证通过，门翼保持不动，由对向人员通行结束门翼再关闭；</w:t>
            </w:r>
          </w:p>
          <w:p w14:paraId="4DBE8F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管控模式：设备可根据实际管控需求设置警戒模式与宽松模式，默认为宽松模式；</w:t>
            </w:r>
          </w:p>
          <w:p w14:paraId="68709B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自动复位：设备具有自动复位功能，开门后在规定的时间内未通行，系统将自动取消用户的本次通行的权限，可设定通行时间；</w:t>
            </w:r>
          </w:p>
          <w:p w14:paraId="70DF4D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记忆模式：设备支持记忆模式，可实现连续快速通行；</w:t>
            </w:r>
          </w:p>
          <w:p w14:paraId="56AB10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消防联动：设备具有消防联动接口，当消防信号触发时，门翼自动打开，快速引导人员疏散；</w:t>
            </w:r>
          </w:p>
          <w:p w14:paraId="596E84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断电通行：设备可选配超级电容，断电时门翼自动打开，人员可自由通行，防止恐慌； </w:t>
            </w:r>
          </w:p>
          <w:p w14:paraId="743008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远程控制：设备可选配遥控器或遥控平板支持远程控制；</w:t>
            </w:r>
          </w:p>
          <w:p w14:paraId="64C758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机械防夹：设备具备防夹功能，在门翼复位的过程中遇阻时电机自动停止工作,防止人员受伤；</w:t>
            </w:r>
          </w:p>
          <w:p w14:paraId="2D75EA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激光雷达防夹：设备具备激光雷达防夹功能，在门翼复位的过程中检测到激光雷达触发时电机自动停止工作,防止人员受伤；</w:t>
            </w:r>
          </w:p>
          <w:p w14:paraId="658077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防冲撞：设备具备防冲撞功能，在没有接收到开门信号时，若受到不超过40N•m的冲击力，门翼保持锁止状态；</w:t>
            </w:r>
          </w:p>
          <w:p w14:paraId="736995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人数统计：设备支持人数统计功能配置，可实时获取设备进出方向总人数；</w:t>
            </w:r>
          </w:p>
          <w:p w14:paraId="43408C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人机互动：在不同的通行状态下，设备不同的灯光呈现不同的状态进行区分</w:t>
            </w:r>
          </w:p>
          <w:p w14:paraId="3CDA7E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灯效显示：无门翼灯；闸机指示灯蓝红双色亮度可以自定义调节，符合环境要求；</w:t>
            </w:r>
          </w:p>
          <w:p w14:paraId="4A9884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语音控制：具备文字转语音（TTS）和语音合成技术；</w:t>
            </w:r>
          </w:p>
          <w:p w14:paraId="43471C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WEB管理：支持手机Web与PC Web管理，可进行人员管理、参数配置、事件查询、系统维护等操作</w:t>
            </w:r>
          </w:p>
          <w:p w14:paraId="0E92EA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NFC触碰登录：支持安卓手机开启NFC后触碰指定位置，实现快速登录设备，实现手机Web管理</w:t>
            </w:r>
          </w:p>
          <w:p w14:paraId="7B91FD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使用环境：室内外</w:t>
            </w:r>
          </w:p>
          <w:p w14:paraId="3D9B4F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电机类型：无刷直流伺服电机</w:t>
            </w:r>
          </w:p>
          <w:p w14:paraId="02EFFE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认证方式：标配IC/CPU/身份证读卡器、一体化摄像头、LED屏幕;双目200w像素摄像头模组，支持通道出向面部识别</w:t>
            </w:r>
          </w:p>
          <w:p w14:paraId="6C19E0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激光雷达：无</w:t>
            </w:r>
          </w:p>
          <w:p w14:paraId="559A6B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产品尺寸：1200mm×170mm×1070mm;其中摄像头及LED屏幕高度70mm</w:t>
            </w:r>
          </w:p>
          <w:p w14:paraId="3AC5D3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通道宽度：550-950mm,以50mm为一档;</w:t>
            </w:r>
          </w:p>
          <w:p w14:paraId="100518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门翼间隙：通道宽度950为70mm;其它均为44mm</w:t>
            </w:r>
          </w:p>
          <w:p w14:paraId="7C85D0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箱体材质：SUS304拉丝不锈钢；顶盖及侧盖厚度1.0±0.1 mm，其他部分钣金0.8±0.08mm</w:t>
            </w:r>
          </w:p>
          <w:p w14:paraId="0B9125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门翼材质：亚克力;不锈钢;其中亚克力厚度8mm</w:t>
            </w:r>
          </w:p>
          <w:p w14:paraId="45903A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通行速率：20-60人每分钟，受人员情况和通行模式影响</w:t>
            </w:r>
          </w:p>
          <w:p w14:paraId="2D0765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电源电压：AC 200-240 V，50/60 Hz</w:t>
            </w:r>
          </w:p>
          <w:p w14:paraId="532C97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整机功耗：待机35W、运行60W、最大80W</w:t>
            </w:r>
          </w:p>
          <w:p w14:paraId="76CABC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工作温度：-20℃-+70℃;温度低于-20℃时增配加热模块可支持到-40℃</w:t>
            </w:r>
          </w:p>
          <w:p w14:paraId="4898AB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工作湿度：0%至95%（不凝聚成水滴）</w:t>
            </w:r>
          </w:p>
          <w:p w14:paraId="0C13C0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产品重量：裸机约24Kg;带包装约31Kg;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F1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F9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AFF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7C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4B6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桌面式访客机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228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987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DS-K5033CW</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C2C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操作系统：Android  11 ； </w:t>
            </w:r>
          </w:p>
          <w:p w14:paraId="71FE94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屏幕参数： 访客侧：10.1寸显示屏，1280*800分辨率；管理员侧：10.1寸触摸屏，1280*800分辨率 </w:t>
            </w:r>
          </w:p>
          <w:p w14:paraId="0D2F32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摄像头参数：采用宽动态200万双目摄像头； </w:t>
            </w:r>
          </w:p>
          <w:p w14:paraId="10A4DE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硬件接口：RJ45*1、USB2.0*3、开关机按键*1、预留RS485*1、预留IO输入*1、预留门锁*1； </w:t>
            </w:r>
          </w:p>
          <w:p w14:paraId="7E4B54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通信方式：TCP/IP、 Wifi； </w:t>
            </w:r>
          </w:p>
          <w:p w14:paraId="460CFB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使用环境：室内使用； </w:t>
            </w:r>
          </w:p>
          <w:p w14:paraId="07B19F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工作电压： DC12V/3A (标配电源适配器）； </w:t>
            </w:r>
          </w:p>
          <w:p w14:paraId="39CC76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产品尺寸：249.9mm（长）*220.7mm（宽）*304.6mm（高）； </w:t>
            </w:r>
          </w:p>
          <w:p w14:paraId="20AB07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设备重量：净重4.11kg，毛重5.8kg </w:t>
            </w:r>
          </w:p>
          <w:p w14:paraId="7CAC44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功能介绍： </w:t>
            </w:r>
          </w:p>
          <w:p w14:paraId="7CAE12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人证功能：设备支持人证（身份证）比对功能，即将访客现场抓拍的人脸照片与身份证内人脸小图进行比对，验证是否为本人，比对时间≤1s； </w:t>
            </w:r>
          </w:p>
          <w:p w14:paraId="0F972A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凭条打印功能：支持选配一体化底座，通过底座热敏打印机打印凭条，或通过USB接口外接打印机打印访客凭条； </w:t>
            </w:r>
          </w:p>
          <w:p w14:paraId="234C25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扫码功能：通过底部单目500W像素摄像头扫码；  </w:t>
            </w:r>
          </w:p>
          <w:p w14:paraId="0F9B53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测温功能：支持接入测温模块，实现访客登记并测温功能，同时温度会与访客信息绑定。 </w:t>
            </w:r>
          </w:p>
          <w:p w14:paraId="777107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记录查询：可查看访客记录，支持按姓名、身份证号查询，并可通过U盘导出访客记录，访客记录容量30万条； </w:t>
            </w:r>
          </w:p>
          <w:p w14:paraId="22F7EA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联网版访客软件： </w:t>
            </w:r>
          </w:p>
          <w:p w14:paraId="24C65D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访客预约功能：支持微信公众号、企业微信、钉钉等多种途径进行线上预约； </w:t>
            </w:r>
          </w:p>
          <w:p w14:paraId="0BB517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已预约访客登记：对访客已预约的情况，当访客到达园区时，当到达园区时只需找到原预约内容，进行访客登记即可。访客登记共有三种方式，二维码登记、身份证登记，访客码/手机号码登记。 </w:t>
            </w:r>
          </w:p>
          <w:p w14:paraId="64C26B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未预约访客登记：对未预约直接来访的访客，支持通过刷身份证在人工访客机上进行未预约登记； </w:t>
            </w:r>
          </w:p>
          <w:p w14:paraId="0212C7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访客多级审批：可根据用户单位自身情况，灵活设置不同形式的审批模式，例如一级、二级、三级等多级审批流程； </w:t>
            </w:r>
          </w:p>
          <w:p w14:paraId="1BF6B8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健康信息查询：搭配园区出入人员测温管理软件，访客预约登记/登记时查验健康码、行程码、核酸等健康信息：  </w:t>
            </w:r>
          </w:p>
          <w:p w14:paraId="4ABB09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访客发卡：设备支持通过设备给访客发卡（IC卡、CPU卡、身份证序列号或身份证号码），使访客能够在被授权的门禁刷卡通行；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FB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C6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847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F0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D84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98B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97C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DS-K1T673M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72B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/操作系统：嵌入式Linux操作系统；</w:t>
            </w:r>
          </w:p>
          <w:p w14:paraId="1F0C9A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屏幕参数： 7英寸触摸显示屏，屏幕比例9:16，屏幕分辨率600*1024；</w:t>
            </w:r>
          </w:p>
          <w:p w14:paraId="23B17D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摄像头参数：采用宽动态200万双目摄像头；</w:t>
            </w:r>
          </w:p>
          <w:p w14:paraId="349F19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认证方式：支持人脸、刷卡（IC卡、手机NFC卡、CPU卡序列号/内容、身份证卡序列号）、密码认证方式，可外接身份证、指纹、蓝牙、二维码功能模块；</w:t>
            </w:r>
          </w:p>
          <w:p w14:paraId="4A1236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人脸验证：采用深度学习算法，支持单人或多人识别（最多5人同时认证）功能；支持照片、视频防假；1:N人脸验证速度≤0.2s，人脸验证准确率≥99%；</w:t>
            </w:r>
          </w:p>
          <w:p w14:paraId="63C2E9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存储容量：本地支持10000人脸库、50000张卡，15万条事件记录；</w:t>
            </w:r>
          </w:p>
          <w:p w14:paraId="5E6EDC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硬件接口：LAN*1、RS485*1、Wiegand * 1(支持双向)、typeC类型USB接口*1、电锁*1、门磁*1、报警输入*2、报警输出*1、开门按钮*1、SD卡槽*1（最大支持512GB）、3.5mm音频输出接口*1；</w:t>
            </w:r>
          </w:p>
          <w:p w14:paraId="7D190D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通信方式及网络协议：有线网络；</w:t>
            </w:r>
          </w:p>
          <w:p w14:paraId="705F54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使用环境：IP65，室内外环境（室外使用必须搭配遮阳罩）；</w:t>
            </w:r>
          </w:p>
          <w:p w14:paraId="66F53F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安装方式：壁挂安装（标配挂板，适配86底盒）；</w:t>
            </w:r>
          </w:p>
          <w:p w14:paraId="0768AF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工作电压： DC12V~24V/2A（电源需另配）；</w:t>
            </w:r>
          </w:p>
          <w:p w14:paraId="7EA229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产品尺寸：209.2*110.5*24mm；</w:t>
            </w:r>
          </w:p>
          <w:p w14:paraId="176C99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设备重量：净重0.56kg，毛重0.88kg</w:t>
            </w:r>
          </w:p>
          <w:p w14:paraId="73D5B3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功能介绍：</w:t>
            </w:r>
          </w:p>
          <w:p w14:paraId="616006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可视对讲：支持和云平台、客户端、室内机、管理机进行可视对讲；支持配置一键呼叫室内机或管理机；支持副门口机或围墙机模式；</w:t>
            </w:r>
          </w:p>
          <w:p w14:paraId="3F5A16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视频预览：支持管理中心远程视频预览，支持接入NVR设备，实现视频录像，编码格式H.264；</w:t>
            </w:r>
          </w:p>
          <w:p w14:paraId="7278AA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口罩检测：支持口罩检测模式，可配置提醒戴口罩模式、强制戴口罩模式，关联门禁控制；</w:t>
            </w:r>
          </w:p>
          <w:p w14:paraId="5A7332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安全帽检测：支持工地安全帽检测功能，可配置提醒安全帽模式、强制戴安全帽模式，关联门禁控制；</w:t>
            </w:r>
          </w:p>
          <w:p w14:paraId="237F6E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识别界面可配：识别主界面的“呼叫”、“二维码”、“密码”的按键图标可分别配置是否显示；</w:t>
            </w:r>
          </w:p>
          <w:p w14:paraId="6753F9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认证结果显示可配：支持认证成功界面的“照片”、“姓名”、“工号”信息可配置是否显示；</w:t>
            </w:r>
          </w:p>
          <w:p w14:paraId="6B925D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认证结果语音自定义：集成文字转语音（TTS）和语音合成技术，认证成功和认证失败的语音可以分别配置4个时间段进行自定义播报，同时认证成功的语音可叠加播报姓名；</w:t>
            </w:r>
          </w:p>
          <w:p w14:paraId="48E130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工作模式：支持广告模式、简洁模式主题模式</w:t>
            </w:r>
          </w:p>
          <w:p w14:paraId="33183A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外接安全模块：支持通过RS485接入门控安全模块，防止主机被恶意破坏的情况下，门锁不被打开；</w:t>
            </w:r>
          </w:p>
          <w:p w14:paraId="068054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外接读卡器：支持通过RS485或韦根（W26/W34）接口外接1个读卡器，同时可实现单门反潜回功能；</w:t>
            </w:r>
          </w:p>
          <w:p w14:paraId="6F49A9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读卡器模式：支持通过RS485或韦根（W26/W34）接入门禁控制器，作为读卡器模式使用；</w:t>
            </w:r>
          </w:p>
          <w:p w14:paraId="1B2A57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门禁计划模板：支持255组计划模板管理，128个周计划，1024个假日计划；支持常开、常闭时段管理；</w:t>
            </w:r>
          </w:p>
          <w:p w14:paraId="63B94E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组合认证：刷卡+密码、刷卡+人脸、人脸+密码等组合认证方式</w:t>
            </w:r>
          </w:p>
          <w:p w14:paraId="6D405D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多重认证：支持多个人员认证（人脸、刷卡等）通过后才开门；</w:t>
            </w:r>
          </w:p>
          <w:p w14:paraId="6921A2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报警功能：设备支持防拆报警、门被外力开启报警、胁迫卡和胁迫密码报警等；</w:t>
            </w:r>
          </w:p>
          <w:p w14:paraId="6FAE34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事件上传：在线状态下将设备认证结果信息及联动抓拍照片实时上传给平台，支持断网续传功能，设备离线状态下产生事件在与平台连接后会重新上传；</w:t>
            </w:r>
          </w:p>
          <w:p w14:paraId="427D90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单机使用：设备可进行本地管理，支持本地注册人脸、查询、设置、管理设备参数等；</w:t>
            </w:r>
          </w:p>
          <w:p w14:paraId="4E7651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WEB管理：支持Web端管理，可进行人员管理、参数配置、事件查询、系统维护等操作。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5B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4C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E3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00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900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开门按钮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8B0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30B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EB29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F9C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/"开门按钮</w:t>
            </w:r>
          </w:p>
          <w:p w14:paraId="4A07048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结构：塑料面板；</w:t>
            </w:r>
          </w:p>
          <w:p w14:paraId="113054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性能：最大耐电流1.25A，电压250V；</w:t>
            </w:r>
          </w:p>
          <w:p w14:paraId="32A0AC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输出：常开；</w:t>
            </w:r>
          </w:p>
          <w:p w14:paraId="051441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类型：适合埋入式电器盒使用；</w:t>
            </w:r>
          </w:p>
          <w:p w14:paraId="64BAD3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尺寸：86*86mm；</w:t>
            </w:r>
          </w:p>
          <w:p w14:paraId="6FDE16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重量：0.07kg；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80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1F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11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72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4B4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2A6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D4E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DS-K4H250BSC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DE8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/锁体主体颜色为：氧化银</w:t>
            </w:r>
          </w:p>
          <w:p w14:paraId="427122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最大静态直线拉力：280kg±10%</w:t>
            </w:r>
          </w:p>
          <w:p w14:paraId="07C55A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断电开锁，满足消防要求</w:t>
            </w:r>
          </w:p>
          <w:p w14:paraId="017E82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具有电锁状态指示灯（红灯为开锁状态， 绿灯为上锁状态）</w:t>
            </w:r>
          </w:p>
          <w:p w14:paraId="395856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支持锁状态侦测信号(门磁)输出：NO/NC/COM接点</w:t>
            </w:r>
          </w:p>
          <w:p w14:paraId="422B01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工作电压：12V/430mA 或 24V/215mA</w:t>
            </w:r>
          </w:p>
          <w:p w14:paraId="020E53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锁体尺寸：长238*宽53*厚29(mm)</w:t>
            </w:r>
          </w:p>
          <w:p w14:paraId="2CCD67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吸板尺寸：长170*宽43*高13(mm)</w:t>
            </w:r>
          </w:p>
          <w:p w14:paraId="1DA015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使用环境：室内（不防水）</w:t>
            </w:r>
          </w:p>
          <w:p w14:paraId="71D9A4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适用门型：木门、玻璃门、金属门、防火门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B6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4C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82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7B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7A1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电磁锁LZ支架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72B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A0F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DS-K4H250BSC-LZ1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7356F">
            <w:pPr>
              <w:keepNext w:val="0"/>
              <w:keepLines w:val="0"/>
              <w:pageBreakBefore w:val="0"/>
              <w:widowControl/>
              <w:suppressLineNumbers w:val="0"/>
              <w:kinsoku w:val="0"/>
              <w:wordWrap/>
              <w:overflowPunct/>
              <w:topLinePunct w:val="0"/>
              <w:autoSpaceDE w:val="0"/>
              <w:autoSpaceDN w:val="0"/>
              <w:bidi w:val="0"/>
              <w:adjustRightInd w:val="0"/>
              <w:snapToGrid w:val="0"/>
              <w:spacing w:after="200" w:afterAutospacing="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L型支架尺寸：长238x宽54x厚32.5(mm)</w:t>
            </w:r>
          </w:p>
          <w:p w14:paraId="5F9E7583">
            <w:pPr>
              <w:keepNext w:val="0"/>
              <w:keepLines w:val="0"/>
              <w:pageBreakBefore w:val="0"/>
              <w:widowControl/>
              <w:suppressLineNumbers w:val="0"/>
              <w:kinsoku w:val="0"/>
              <w:wordWrap/>
              <w:overflowPunct/>
              <w:topLinePunct w:val="0"/>
              <w:autoSpaceDE w:val="0"/>
              <w:autoSpaceDN w:val="0"/>
              <w:bidi w:val="0"/>
              <w:adjustRightInd w:val="0"/>
              <w:snapToGrid w:val="0"/>
              <w:spacing w:after="200" w:afterAutospacing="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Z型支架尺寸：长175x宽50x厚50(mm)</w:t>
            </w:r>
          </w:p>
          <w:p w14:paraId="4A4A0E0D">
            <w:pPr>
              <w:keepNext w:val="0"/>
              <w:keepLines w:val="0"/>
              <w:pageBreakBefore w:val="0"/>
              <w:widowControl/>
              <w:suppressLineNumbers w:val="0"/>
              <w:kinsoku w:val="0"/>
              <w:wordWrap/>
              <w:overflowPunct/>
              <w:topLinePunct w:val="0"/>
              <w:autoSpaceDE w:val="0"/>
              <w:autoSpaceDN w:val="0"/>
              <w:bidi w:val="0"/>
              <w:adjustRightInd w:val="0"/>
              <w:snapToGrid w:val="0"/>
              <w:spacing w:after="200" w:afterAutospacing="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开门角度：90°</w:t>
            </w:r>
          </w:p>
          <w:p w14:paraId="54F37976">
            <w:pPr>
              <w:keepNext w:val="0"/>
              <w:keepLines w:val="0"/>
              <w:pageBreakBefore w:val="0"/>
              <w:widowControl/>
              <w:suppressLineNumbers w:val="0"/>
              <w:kinsoku w:val="0"/>
              <w:wordWrap/>
              <w:overflowPunct/>
              <w:topLinePunct w:val="0"/>
              <w:autoSpaceDE w:val="0"/>
              <w:autoSpaceDN w:val="0"/>
              <w:bidi w:val="0"/>
              <w:adjustRightInd w:val="0"/>
              <w:snapToGrid w:val="0"/>
              <w:spacing w:after="200" w:afterAutospacing="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选用材料：高强度铝合金，表面喷砂处理</w:t>
            </w:r>
          </w:p>
          <w:p w14:paraId="1A951356">
            <w:pPr>
              <w:keepNext w:val="0"/>
              <w:keepLines w:val="0"/>
              <w:pageBreakBefore w:val="0"/>
              <w:widowControl/>
              <w:suppressLineNumbers w:val="0"/>
              <w:kinsoku w:val="0"/>
              <w:wordWrap/>
              <w:overflowPunct/>
              <w:topLinePunct w:val="0"/>
              <w:autoSpaceDE w:val="0"/>
              <w:autoSpaceDN w:val="0"/>
              <w:bidi w:val="0"/>
              <w:adjustRightInd w:val="0"/>
              <w:snapToGrid w:val="0"/>
              <w:spacing w:after="200" w:afterAutospacing="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适用门类型：木门/金属门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52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26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968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A1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8B7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00D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AE2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DS-K7M-AW50-1(国内标配)/不带机箱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337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输入电压：100-240VAC；</w:t>
            </w:r>
          </w:p>
          <w:p w14:paraId="41FFC0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输出电压：12VDC；</w:t>
            </w:r>
          </w:p>
          <w:p w14:paraId="184BC3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输出电流：4.17A；</w:t>
            </w:r>
          </w:p>
          <w:p w14:paraId="64A993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输出功率：50W；</w:t>
            </w:r>
          </w:p>
          <w:p w14:paraId="348E47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工作温度：-10℃-+50℃；</w:t>
            </w:r>
          </w:p>
          <w:p w14:paraId="5619E2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工作湿度：＜95%；</w:t>
            </w:r>
          </w:p>
          <w:p w14:paraId="2ACF24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尺寸：99*82*30mm；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B7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10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92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64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三、LED大屏</w:t>
            </w:r>
          </w:p>
        </w:tc>
      </w:tr>
      <w:tr w14:paraId="08D16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CE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会议室LED屏</w:t>
            </w:r>
            <w:r>
              <w:rPr>
                <w:rFonts w:hint="eastAsia" w:ascii="宋体" w:hAnsi="宋体" w:cs="宋体"/>
                <w:b/>
                <w:bCs/>
                <w:i w:val="0"/>
                <w:iCs w:val="0"/>
                <w:color w:val="000000"/>
                <w:kern w:val="0"/>
                <w:sz w:val="20"/>
                <w:szCs w:val="20"/>
                <w:u w:val="none"/>
                <w:lang w:val="en-US" w:eastAsia="zh-CN" w:bidi="ar"/>
              </w:rPr>
              <w:t>共</w:t>
            </w:r>
            <w:r>
              <w:rPr>
                <w:rFonts w:hint="eastAsia" w:ascii="宋体" w:hAnsi="宋体" w:eastAsia="宋体" w:cs="宋体"/>
                <w:b/>
                <w:bCs/>
                <w:i w:val="0"/>
                <w:iCs w:val="0"/>
                <w:color w:val="000000"/>
                <w:kern w:val="0"/>
                <w:sz w:val="20"/>
                <w:szCs w:val="20"/>
                <w:u w:val="none"/>
                <w:lang w:val="en-US" w:eastAsia="zh-CN" w:bidi="ar"/>
              </w:rPr>
              <w:t>2套（一楼、二楼各一套）</w:t>
            </w:r>
          </w:p>
        </w:tc>
      </w:tr>
      <w:tr w14:paraId="3EFF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5401B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636F7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 全彩显示屏</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7BAD5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39CFF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DS-D4118CA-1PM</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9F13F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画面均匀一致，无黑线，实现真正无缝拼接 </w:t>
            </w:r>
          </w:p>
          <w:p w14:paraId="0E6EA7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高刷新频率，高灰度处理，显示画面细腻流畅 </w:t>
            </w:r>
          </w:p>
          <w:p w14:paraId="48A5A3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像素结构：1R1G1B</w:t>
            </w:r>
          </w:p>
          <w:p w14:paraId="3302E8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像素间距：1.86mm</w:t>
            </w:r>
          </w:p>
          <w:p w14:paraId="47DFEA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像素密度：288906 点/㎡</w:t>
            </w:r>
          </w:p>
          <w:p w14:paraId="37D2D1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维护方式：完全前维护 </w:t>
            </w:r>
          </w:p>
          <w:p w14:paraId="3A6E0D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灯珠尺寸：1515</w:t>
            </w:r>
          </w:p>
          <w:p w14:paraId="147998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模组尺寸：320（W）× 160（H）× 28.6（D） mm（含磁铁厚度）</w:t>
            </w:r>
          </w:p>
          <w:p w14:paraId="3A1647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模组分辨率：172 × 86</w:t>
            </w:r>
          </w:p>
          <w:p w14:paraId="40EFAE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模组重量：0.46 kg/块</w:t>
            </w:r>
          </w:p>
          <w:p w14:paraId="1E2B12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信号接口：HUB75E *  16（出货配置为16口接收卡）</w:t>
            </w:r>
          </w:p>
          <w:p w14:paraId="35F56D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防护等级：IP30</w:t>
            </w:r>
          </w:p>
          <w:p w14:paraId="5EE7AB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套件材质：塑壳 </w:t>
            </w:r>
          </w:p>
          <w:p w14:paraId="4B7AE2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封装品牌：国产铜线 </w:t>
            </w:r>
          </w:p>
          <w:p w14:paraId="3D0D76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白平衡亮度：500 cd/㎡</w:t>
            </w:r>
          </w:p>
          <w:p w14:paraId="06D767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色温：3000-10000 K可调</w:t>
            </w:r>
          </w:p>
          <w:p w14:paraId="1D3BA7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可视角：160°(H)/160°(V)</w:t>
            </w:r>
          </w:p>
          <w:p w14:paraId="4BD600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对比度：3000：1</w:t>
            </w:r>
          </w:p>
          <w:p w14:paraId="188DBE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色度均匀性：± 0.003Cx，Cy之内</w:t>
            </w:r>
          </w:p>
          <w:p w14:paraId="464490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亮度均匀性：≥ 97％</w:t>
            </w:r>
          </w:p>
          <w:p w14:paraId="52E159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最佳视距：2.4m~6.2m </w:t>
            </w:r>
          </w:p>
          <w:p w14:paraId="6CD703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电源接口：VH4PIN，电源200W推荐带载6张灯板 </w:t>
            </w:r>
          </w:p>
          <w:p w14:paraId="7013BA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驱动方式：恒流驱动</w:t>
            </w:r>
          </w:p>
          <w:p w14:paraId="5C93EA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扫描数：43S</w:t>
            </w:r>
          </w:p>
          <w:p w14:paraId="2277D0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换帧频率：60 Hz</w:t>
            </w:r>
          </w:p>
          <w:p w14:paraId="143C76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刷新率：3840 Hz</w:t>
            </w:r>
          </w:p>
          <w:p w14:paraId="610708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灰度等级：最大支持16 bit </w:t>
            </w:r>
          </w:p>
          <w:p w14:paraId="5784AB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峰值功耗：≤430W/㎡</w:t>
            </w:r>
          </w:p>
          <w:p w14:paraId="200186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平均功耗：≤145W/㎡</w:t>
            </w:r>
          </w:p>
          <w:p w14:paraId="61CB6B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供电要求：AC：200-240V~</w:t>
            </w:r>
          </w:p>
          <w:p w14:paraId="7909DD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模组供电电压：DC：4.5-5V</w:t>
            </w:r>
          </w:p>
          <w:p w14:paraId="65F9FF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模组峰值功耗：23W</w:t>
            </w:r>
          </w:p>
          <w:p w14:paraId="5818D6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模组最大电流：5A </w:t>
            </w:r>
          </w:p>
          <w:p w14:paraId="29FD8E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工作温度：-10 ℃ ~ 40 ℃</w:t>
            </w:r>
          </w:p>
          <w:p w14:paraId="42AAB8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工作湿度：10%~80% RH（无冷凝水）</w:t>
            </w:r>
          </w:p>
          <w:p w14:paraId="2ADE60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存储温度：-20 ℃ ~ 60 ℃</w:t>
            </w:r>
          </w:p>
          <w:p w14:paraId="30997B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存储湿度：10%~85% RH（无冷凝水） </w:t>
            </w:r>
          </w:p>
          <w:p w14:paraId="4AFF1E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包装尺寸：634 (W) mm × 380 (H) mm × 410 (D) mm</w:t>
            </w:r>
          </w:p>
          <w:p w14:paraId="6DF8C4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包装方式：1包40</w:t>
            </w:r>
          </w:p>
          <w:p w14:paraId="681502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毛重：0.545 kg/块</w:t>
            </w:r>
          </w:p>
          <w:p w14:paraId="23A998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净重：0.46 kg/块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4810B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D39E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r>
      <w:tr w14:paraId="6D37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19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1B2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EA2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72D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DS-DT60V-03HI04NO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461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4网口 2K LED二合一拼控卡</w:t>
            </w:r>
          </w:p>
          <w:p w14:paraId="38F4CB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采用1U半宽机架式设计，前面板具备全彩OLED非触摸屏，分辨率128x64</w:t>
            </w:r>
          </w:p>
          <w:p w14:paraId="77E366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支持3路HDMI视频信号输入，4路网口带载输出，带载高达260万像素</w:t>
            </w:r>
          </w:p>
          <w:p w14:paraId="439977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支持视频信号输入全屏缩放及自定义缩放.支持任意切换，拼接</w:t>
            </w:r>
          </w:p>
          <w:p w14:paraId="0DF25F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支持多窗口显示：信源窗口*3、图片窗口*2、滚动文字窗口*1、底图窗口*1</w:t>
            </w:r>
          </w:p>
          <w:p w14:paraId="64DA37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支持最多10个用户场景,可作为模板保存，可直接调用，方便使用</w:t>
            </w:r>
          </w:p>
          <w:p w14:paraId="2879C6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支持多发送卡通过网络进行级联管理和统一控制</w:t>
            </w:r>
          </w:p>
          <w:p w14:paraId="7A42CE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支持热备份、支持设备间备份和网口间备份</w:t>
            </w:r>
          </w:p>
          <w:p w14:paraId="2C1F72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支持屏幕底图配置设置和更换、屏保和开机logo配置</w:t>
            </w:r>
          </w:p>
          <w:p w14:paraId="482FE4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支持屏幕除湿配置</w:t>
            </w:r>
          </w:p>
          <w:p w14:paraId="3FA234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支持对屏幕进行逐点校正配置有效消除色差，有效提高显示屏的画质</w:t>
            </w:r>
          </w:p>
          <w:p w14:paraId="7DA7FB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支持常规、文稿、广告、视讯、影院、安防等显示模式切换</w:t>
            </w:r>
          </w:p>
          <w:p w14:paraId="239CE6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支持查看设备运行状态、设备内存、CPU使用率、设备运行温度和网口使用率等参数</w:t>
            </w:r>
          </w:p>
          <w:p w14:paraId="71FEBA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支持通过RS485接口进行中控及物联网设备对接</w:t>
            </w:r>
          </w:p>
          <w:p w14:paraId="16E68C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支持通过控制网口，通过网络SDK、ISAPI、OTAP等协议进行控制指令对接和设备管理</w:t>
            </w:r>
          </w:p>
          <w:p w14:paraId="5DECE9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支持通过控制网口链接多功能卡 实现环境温度检测、环境湿度检测、人体温度传感配合屏幕控制等功能</w:t>
            </w:r>
          </w:p>
          <w:p w14:paraId="646876E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视频输入分辨率（HDMI）：总分辨率不超过260W@60，可自定义分辨率，最大支持分辨率：2048*1269@60Hz，最小支持分辨率：320*180@60Hz</w:t>
            </w:r>
          </w:p>
          <w:p w14:paraId="04BEC5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视频输入接口：HDMI1.4*3</w:t>
            </w:r>
          </w:p>
          <w:p w14:paraId="749F93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视频输入极限高度（HDMI）：180~4096</w:t>
            </w:r>
          </w:p>
          <w:p w14:paraId="14FDE2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视频输入极限宽度（HDMI）：320~4096 </w:t>
            </w:r>
          </w:p>
          <w:p w14:paraId="7092C9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LED带载输出接口：千兆网口*4</w:t>
            </w:r>
          </w:p>
          <w:p w14:paraId="11AB48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视频输出极限宽度：320~5120</w:t>
            </w:r>
          </w:p>
          <w:p w14:paraId="573BC3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LED带载输出分辨率：单网口带载65W，最大带载260万像素，可自定义分辨率</w:t>
            </w:r>
          </w:p>
          <w:p w14:paraId="3DE08F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视频输出极限高度：180~5120 </w:t>
            </w:r>
          </w:p>
          <w:p w14:paraId="1F16A7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音频输入接口：HDMI内嵌*3 </w:t>
            </w:r>
          </w:p>
          <w:p w14:paraId="2E428B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音频输出接口：LINE OUT 3.5mm*1 </w:t>
            </w:r>
          </w:p>
          <w:p w14:paraId="538F39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遥控器：支持红外遥控器 </w:t>
            </w:r>
          </w:p>
          <w:p w14:paraId="22E68B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其他接口：HDMI1.4*1（视频预监输出）、10M/100M/1000M自适应以太网口*2（管理使用）、IR输入*1、串口*1、RS485*1、USB 2.0*1 </w:t>
            </w:r>
          </w:p>
          <w:p w14:paraId="1AB437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产品尺寸：210×180×42mm（1U、半宽）</w:t>
            </w:r>
          </w:p>
          <w:p w14:paraId="79F084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净重：1.11KG</w:t>
            </w:r>
          </w:p>
          <w:p w14:paraId="7C71FF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电源：100～240 VAC，50/60 Hz</w:t>
            </w:r>
          </w:p>
          <w:p w14:paraId="0E5EFA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整机功耗：≤15.5W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1F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7D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0B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6C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298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133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C87B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F02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LED模组接收卡DC电源线*2</w:t>
            </w:r>
          </w:p>
          <w:p w14:paraId="54ED5A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LED模组级联短网线*9</w:t>
            </w:r>
          </w:p>
          <w:p w14:paraId="5F1FBE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LED模组电源级联AC电源线*7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3E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D5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3F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B8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06E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1D0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249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DS-D40D10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CB8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控制方式：面板控制、电脑控制、电脑定时、中控控制</w:t>
            </w:r>
          </w:p>
          <w:p w14:paraId="098C20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面板控制: 一键延时启停,紧急停止,模式切换，单键单元控制</w:t>
            </w:r>
          </w:p>
          <w:p w14:paraId="6C901F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电脑控制: 可一键延时启停，单路启停，紧急停止。对功率、温度、烟雾等状态实时检测,并保存操作记录,报警记录。</w:t>
            </w:r>
          </w:p>
          <w:p w14:paraId="3CD602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电脑定时: 每天可设置最多4组时间段，按星期启停。定好时间后，支持脱机定时运行。</w:t>
            </w:r>
          </w:p>
          <w:p w14:paraId="25EE18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中控控制: 提供MODBUS-RTU、MODBUS-TCP、MODBUS-UDP协议</w:t>
            </w:r>
          </w:p>
          <w:p w14:paraId="197ACF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自动联机，直接操作，不用人工设置</w:t>
            </w:r>
          </w:p>
          <w:p w14:paraId="667736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保护内容：1）零线电缆高温保护  2）高温断电保护  3）短路保护  4）烟雾保护</w:t>
            </w:r>
          </w:p>
          <w:p w14:paraId="334C94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输入电压：380V</w:t>
            </w:r>
          </w:p>
          <w:p w14:paraId="21B73C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输出电压：220V</w:t>
            </w:r>
          </w:p>
          <w:p w14:paraId="3309C3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额定功率：10KW</w:t>
            </w:r>
          </w:p>
          <w:p w14:paraId="74CBF3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输出回路：3个单相回路（AC220V） </w:t>
            </w:r>
          </w:p>
          <w:p w14:paraId="4EA8F3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每路输出最大带载功率：≤3.33KW</w:t>
            </w:r>
          </w:p>
          <w:p w14:paraId="55A1B2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回路状态监测：单回路</w:t>
            </w:r>
          </w:p>
          <w:p w14:paraId="1FB6F4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远程控制：有</w:t>
            </w:r>
          </w:p>
          <w:p w14:paraId="06CF33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分步逐级上电：有</w:t>
            </w:r>
          </w:p>
          <w:p w14:paraId="7F8998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计划任务上电：有</w:t>
            </w:r>
          </w:p>
          <w:p w14:paraId="3D6454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温度检测：有</w:t>
            </w:r>
          </w:p>
          <w:p w14:paraId="2716BD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壳体尺寸：400*300*130 单位mm</w:t>
            </w:r>
          </w:p>
          <w:p w14:paraId="1F1620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逻辑联动控制：有</w:t>
            </w:r>
          </w:p>
          <w:p w14:paraId="101082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主断路器：德力西32A断路器*1</w:t>
            </w:r>
          </w:p>
          <w:p w14:paraId="2C4B74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交流接触器：德力西32A交流接触器*1</w:t>
            </w:r>
          </w:p>
          <w:p w14:paraId="38852B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子断路器：德力西32A微型1P断路器*3</w:t>
            </w:r>
          </w:p>
          <w:p w14:paraId="5F328F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控制回路断路器：德力西10A 1P+N微型漏电保护断路器*1</w:t>
            </w:r>
          </w:p>
          <w:p w14:paraId="760CD6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零地排：8位铜排*1</w:t>
            </w:r>
          </w:p>
          <w:p w14:paraId="784E3D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PLC控制器：正松PLC-180控制器*1</w:t>
            </w:r>
          </w:p>
          <w:p w14:paraId="730ABD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PLC控制电源模块：正松DC24V电源*1</w:t>
            </w:r>
          </w:p>
          <w:p w14:paraId="23DF7AE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串口服务器：485转USB头*1</w:t>
            </w:r>
          </w:p>
          <w:p w14:paraId="5A8354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总重量：12KG</w:t>
            </w:r>
          </w:p>
          <w:p w14:paraId="22FF4D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380V供电总电缆：YJV-4*4mm²+2.5mm²</w:t>
            </w:r>
          </w:p>
          <w:p w14:paraId="4BFB3B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220V输出电缆：RVV3*2.5 mm²，最多接3根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E8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3F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FEA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AB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C0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备品件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CD5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369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55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同批次模组2张；电源2台；接收卡1张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9B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5E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0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08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A4C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钢结构及外装饰收边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2DED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832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LED室内焊接支架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DAE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LED室内焊接支架</w:t>
            </w:r>
          </w:p>
          <w:p w14:paraId="10B085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快速响应及进场</w:t>
            </w:r>
          </w:p>
          <w:p w14:paraId="01F206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可实现交钥匙工程交付</w:t>
            </w:r>
          </w:p>
          <w:p w14:paraId="41DC0A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适用复杂场地、特殊异形项目、超大项目等</w:t>
            </w:r>
          </w:p>
          <w:p w14:paraId="45BE01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产品型号：LED室内焊接支架 </w:t>
            </w:r>
          </w:p>
          <w:p w14:paraId="149AFB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产品配置：四周黑色不锈钢包边，钢结构支架 </w:t>
            </w:r>
          </w:p>
          <w:p w14:paraId="609535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重量（/m²）：20kg/m² </w:t>
            </w:r>
          </w:p>
          <w:p w14:paraId="02BBD2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材质：Q235，钢材</w:t>
            </w:r>
          </w:p>
          <w:p w14:paraId="2D1C17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备注说明：默认仅含支架及屏幕四周一圈黑色不锈钢包边，若需要布线、封板、旧屏拆除等请另行沟通费用</w:t>
            </w:r>
          </w:p>
          <w:p w14:paraId="564FDA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颜色：黑色 </w:t>
            </w:r>
          </w:p>
          <w:p w14:paraId="63A87D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厚度：最低100mm</w:t>
            </w:r>
          </w:p>
          <w:p w14:paraId="7FECBD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表面处理：焊接节点喷涂防锈漆</w:t>
            </w:r>
          </w:p>
          <w:p w14:paraId="289C9D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弧度：建议两列箱体之间夹角2°以内</w:t>
            </w:r>
          </w:p>
          <w:p w14:paraId="62F660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材料：Q235 </w:t>
            </w:r>
          </w:p>
          <w:p w14:paraId="03CCD6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适用规模：不限 </w:t>
            </w:r>
          </w:p>
          <w:p w14:paraId="3D2AA8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可定制范围：不限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9B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59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r>
      <w:tr w14:paraId="3846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93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27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DC1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C0B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DS-D4118CA-1PM_室内LED标准服务包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14E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1、图纸方案</w:t>
            </w:r>
          </w:p>
          <w:p w14:paraId="569C2F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2、海康支架安装</w:t>
            </w:r>
          </w:p>
          <w:p w14:paraId="1C3699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3、屏幕及发送卡安装</w:t>
            </w:r>
          </w:p>
          <w:p w14:paraId="13E9684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4、配电柜安装（不含380V强电接线）</w:t>
            </w:r>
          </w:p>
          <w:p w14:paraId="3EDD1F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5、海康出货线缆布线（不含桥架、线管、穿墙打孔）</w:t>
            </w:r>
          </w:p>
          <w:p w14:paraId="497441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6、系统调试</w:t>
            </w:r>
          </w:p>
          <w:p w14:paraId="58FE7B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7、使用培训</w:t>
            </w:r>
          </w:p>
          <w:p w14:paraId="23B550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8、施工区域产生的垃圾清理（不含远距离车辆运输）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06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F5E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r>
      <w:tr w14:paraId="6D26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94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2710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HDMI铜线视频线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7D8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F54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DB8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HDMI 1.3 1080P60Hz铜缆（20米）</w:t>
            </w:r>
          </w:p>
          <w:p w14:paraId="4A28AD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线缆类型（音视频线）：铜缆</w:t>
            </w:r>
          </w:p>
          <w:p w14:paraId="7208E3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视频版本：HDMI 1.3</w:t>
            </w:r>
          </w:p>
          <w:p w14:paraId="0F4FF8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支持最大分辨率：1080P 60Hz</w:t>
            </w:r>
          </w:p>
          <w:p w14:paraId="59EB21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接口类型：HDMI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52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4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A16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E2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E4C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HDMI光纤视频线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A12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521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76C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10米HDMI光纤视频线</w:t>
            </w:r>
          </w:p>
          <w:p w14:paraId="097EDC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支持HDMI 2.0标准，</w:t>
            </w:r>
          </w:p>
          <w:p w14:paraId="362E86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支持HDCP 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39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80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82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5D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FBC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7C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2E7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B1D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6F2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AFA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572B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88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36F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BF8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F49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EDE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CA8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CE36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r w14:paraId="0F04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28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5C2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72C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F75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300x530x400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72D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5BB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49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F6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8C3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A62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多媒体地插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3498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MSHML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1DD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D7A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一个电源、一个HDMI、一个3.5音频、一个网络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3E4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789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2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EE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三楼会议室LED屏(电教室)</w:t>
            </w:r>
          </w:p>
        </w:tc>
      </w:tr>
      <w:tr w14:paraId="402C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E28FF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D7564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 全彩显示屏</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BB9F7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0B9E5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DS-D4118CA-1PM</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6749B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画面均匀一致，无黑线，实现真正无缝拼接 </w:t>
            </w:r>
          </w:p>
          <w:p w14:paraId="70AD70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高刷新频率，高灰度处理，显示画面细腻流畅 </w:t>
            </w:r>
          </w:p>
          <w:p w14:paraId="59D586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像素结构：1R1G1B</w:t>
            </w:r>
          </w:p>
          <w:p w14:paraId="4F3A40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像素间距：1.86mm</w:t>
            </w:r>
          </w:p>
          <w:p w14:paraId="02211A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像素密度：288906 点/㎡</w:t>
            </w:r>
          </w:p>
          <w:p w14:paraId="4C7FEC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维护方式：完全前维护 </w:t>
            </w:r>
          </w:p>
          <w:p w14:paraId="1D8F11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灯珠尺寸：1515</w:t>
            </w:r>
          </w:p>
          <w:p w14:paraId="614460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模组尺寸：320（W）× 160（H）× 28.6（D） mm（含磁铁厚度）</w:t>
            </w:r>
          </w:p>
          <w:p w14:paraId="62D17D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模组分辨率：172 × 86</w:t>
            </w:r>
          </w:p>
          <w:p w14:paraId="0967A4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模组重量：0.46 kg/块</w:t>
            </w:r>
          </w:p>
          <w:p w14:paraId="27A4BC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信号接口：HUB75E *  16（出货配置为16口接收卡）</w:t>
            </w:r>
          </w:p>
          <w:p w14:paraId="0A9063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防护等级：IP30</w:t>
            </w:r>
          </w:p>
          <w:p w14:paraId="377D85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套件材质：塑壳 </w:t>
            </w:r>
          </w:p>
          <w:p w14:paraId="10DFA2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封装品牌：国产铜线 </w:t>
            </w:r>
          </w:p>
          <w:p w14:paraId="7656CA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白平衡亮度：500 cd/㎡</w:t>
            </w:r>
          </w:p>
          <w:p w14:paraId="238482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色温：3000-10000 K可调</w:t>
            </w:r>
          </w:p>
          <w:p w14:paraId="4EA4F2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可视角：160°(H)/160°(V)</w:t>
            </w:r>
          </w:p>
          <w:p w14:paraId="39FC27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对比度：3000：1</w:t>
            </w:r>
          </w:p>
          <w:p w14:paraId="7F66DE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色度均匀性：± 0.003Cx，Cy之内</w:t>
            </w:r>
          </w:p>
          <w:p w14:paraId="77AC42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亮度均匀性：≥ 97％</w:t>
            </w:r>
          </w:p>
          <w:p w14:paraId="16A854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最佳视距：2.4m~6.2m </w:t>
            </w:r>
          </w:p>
          <w:p w14:paraId="77D5B8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电源接口：VH4PIN，电源200W推荐带载6张灯板 </w:t>
            </w:r>
          </w:p>
          <w:p w14:paraId="5FF0DF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驱动方式：恒流驱动</w:t>
            </w:r>
          </w:p>
          <w:p w14:paraId="75E764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扫描数：43S</w:t>
            </w:r>
          </w:p>
          <w:p w14:paraId="1E0E07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换帧频率：60 Hz</w:t>
            </w:r>
          </w:p>
          <w:p w14:paraId="0DC8FC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刷新率：3840 Hz</w:t>
            </w:r>
          </w:p>
          <w:p w14:paraId="15EE35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灰度等级：最大支持16 bit </w:t>
            </w:r>
          </w:p>
          <w:p w14:paraId="76E165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峰值功耗：≤430W/㎡</w:t>
            </w:r>
          </w:p>
          <w:p w14:paraId="279C35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平均功耗：≤145W/㎡</w:t>
            </w:r>
          </w:p>
          <w:p w14:paraId="7672C4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供电要求：AC：200-240V~</w:t>
            </w:r>
          </w:p>
          <w:p w14:paraId="1C799E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模组供电电压：DC：4.5-5V</w:t>
            </w:r>
          </w:p>
          <w:p w14:paraId="61636D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模组峰值功耗：23W</w:t>
            </w:r>
          </w:p>
          <w:p w14:paraId="0463DC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模组最大电流：5A </w:t>
            </w:r>
          </w:p>
          <w:p w14:paraId="3DE8EC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工作温度：-10 ℃ ~ 40 ℃</w:t>
            </w:r>
          </w:p>
          <w:p w14:paraId="04D0DD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工作湿度：10%~80% RH（无冷凝水）</w:t>
            </w:r>
          </w:p>
          <w:p w14:paraId="53B78E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存储温度：-20 ℃ ~ 60 ℃</w:t>
            </w:r>
          </w:p>
          <w:p w14:paraId="0DB5D8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存储湿度：10%~85% RH（无冷凝水） </w:t>
            </w:r>
          </w:p>
          <w:p w14:paraId="2EDFF0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包装尺寸：634 (W) mm × 380 (H) mm × 410 (D) mm</w:t>
            </w:r>
          </w:p>
          <w:p w14:paraId="048BC5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包装方式：1包40</w:t>
            </w:r>
          </w:p>
          <w:p w14:paraId="0E0403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毛重：0.545 kg/块</w:t>
            </w:r>
          </w:p>
          <w:p w14:paraId="3E78B0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净重：0.46 kg/块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62F7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B519F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r>
      <w:tr w14:paraId="5624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DA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2FB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88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BCC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DS-DT60V-03HI04NO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70E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4网口 2K LED二合一拼控卡</w:t>
            </w:r>
          </w:p>
          <w:p w14:paraId="2C6962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采用1U半宽机架式设计，前面板具备全彩OLED非触摸屏，分辨率128x64</w:t>
            </w:r>
          </w:p>
          <w:p w14:paraId="2DDB34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支持3路HDMI视频信号输入，4路网口带载输出，带载高达260万像素</w:t>
            </w:r>
          </w:p>
          <w:p w14:paraId="26272B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支持视频信号输入全屏缩放及自定义缩放.支持任意切换，拼接</w:t>
            </w:r>
          </w:p>
          <w:p w14:paraId="4D0F90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支持多窗口显示：信源窗口*3、图片窗口*2、滚动文字窗口*1、底图窗口*1</w:t>
            </w:r>
          </w:p>
          <w:p w14:paraId="4B1053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支持最多10个用户场景,可作为模板保存，可直接调用，方便使用</w:t>
            </w:r>
          </w:p>
          <w:p w14:paraId="0CAD7F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支持多发送卡通过网络进行级联管理和统一控制</w:t>
            </w:r>
          </w:p>
          <w:p w14:paraId="5FDF54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支持热备份、支持设备间备份和网口间备份</w:t>
            </w:r>
          </w:p>
          <w:p w14:paraId="7D7FD6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支持屏幕底图配置设置和更换、屏保和开机logo配置</w:t>
            </w:r>
          </w:p>
          <w:p w14:paraId="257218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支持屏幕除湿配置</w:t>
            </w:r>
          </w:p>
          <w:p w14:paraId="7FCAF3B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支持对屏幕进行逐点校正配置有效消除色差，有效提高显示屏的画质</w:t>
            </w:r>
          </w:p>
          <w:p w14:paraId="793254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支持常规、文稿、广告、视讯、影院、安防等显示模式切换</w:t>
            </w:r>
          </w:p>
          <w:p w14:paraId="7C8E83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支持查看设备运行状态、设备内存、CPU使用率、设备运行温度和网口使用率等参数</w:t>
            </w:r>
          </w:p>
          <w:p w14:paraId="7BC6FB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支持通过RS485接口进行中控及物联网设备对接</w:t>
            </w:r>
          </w:p>
          <w:p w14:paraId="786239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支持通过控制网口，通过网络SDK、ISAPI、OTAP等协议进行控制指令对接和设备管理</w:t>
            </w:r>
          </w:p>
          <w:p w14:paraId="398B71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支持通过控制网口链接多功能卡 实现环境温度检测、环境湿度检测、人体温度传感配合屏幕控制等功能</w:t>
            </w:r>
          </w:p>
          <w:p w14:paraId="68C18D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1BF7C1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视频输入分辨率（HDMI）：总分辨率不超过260W@60，可自定义分辨率，最大支持分辨率：2048*1269@60Hz，最小支持分辨率：320*180@60Hz</w:t>
            </w:r>
          </w:p>
          <w:p w14:paraId="0ED842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视频输入接口：HDMI1.4*3</w:t>
            </w:r>
          </w:p>
          <w:p w14:paraId="6B860F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视频输入极限高度（HDMI）：180~4096</w:t>
            </w:r>
          </w:p>
          <w:p w14:paraId="25A38AE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视频输入极限宽度（HDMI）：320~4096 </w:t>
            </w:r>
          </w:p>
          <w:p w14:paraId="2DBB37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LED带载输出接口：千兆网口*4</w:t>
            </w:r>
          </w:p>
          <w:p w14:paraId="1E5FF0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视频输出极限宽度：320~5120</w:t>
            </w:r>
          </w:p>
          <w:p w14:paraId="1ED778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LED带载输出分辨率：单网口带载65W，最大带载260万像素，可自定义分辨率</w:t>
            </w:r>
          </w:p>
          <w:p w14:paraId="6A3BB2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视频输出极限高度：180~5120 </w:t>
            </w:r>
          </w:p>
          <w:p w14:paraId="738B29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音频输入接口：HDMI内嵌*3 </w:t>
            </w:r>
          </w:p>
          <w:p w14:paraId="197A79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音频输出接口：LINE OUT 3.5mm*1 </w:t>
            </w:r>
          </w:p>
          <w:p w14:paraId="4C3DC5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遥控器：支持红外遥控器 </w:t>
            </w:r>
          </w:p>
          <w:p w14:paraId="709D86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其他接口：HDMI1.4*1（视频预监输出）、10M/100M/1000M自适应以太网口*2（管理使用）、IR输入*1、串口*1、RS485*1、USB 2.0*1 </w:t>
            </w:r>
          </w:p>
          <w:p w14:paraId="3D9D9C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产品尺寸：210×180×42mm（1U、半宽）</w:t>
            </w:r>
          </w:p>
          <w:p w14:paraId="044F46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净重：1.11KG</w:t>
            </w:r>
          </w:p>
          <w:p w14:paraId="5C1D74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电源：100～240 VAC，50/60 Hz</w:t>
            </w:r>
          </w:p>
          <w:p w14:paraId="4353E7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整机功耗：≤15.5W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71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2E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F5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17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576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33D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4E3A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8D8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LED模组接收卡DC电源线*2</w:t>
            </w:r>
          </w:p>
          <w:p w14:paraId="581FEE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LED模组级联短网线*9</w:t>
            </w:r>
          </w:p>
          <w:p w14:paraId="4B754D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LED模组电源级联AC电源线*7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9D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E6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BC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0E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240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AA2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2D9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DS-D40D10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371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控制方式：面板控制、电脑控制、电脑定时、中控控制</w:t>
            </w:r>
          </w:p>
          <w:p w14:paraId="52D42E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面板控制: 一键延时启停,紧急停止,模式切换，单键单元控制</w:t>
            </w:r>
          </w:p>
          <w:p w14:paraId="110857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电脑控制: 可一键延时启停，单路启停，紧急停止。对功率、温度、烟雾等状态实时检测,并保存操作记录,报警记录。</w:t>
            </w:r>
          </w:p>
          <w:p w14:paraId="7A75B9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电脑定时: 每天可设置最多4组时间段，按星期启停。定好时间后，支持脱机定时运行。</w:t>
            </w:r>
          </w:p>
          <w:p w14:paraId="4D9CDD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中控控制: 提供MODBUS-RTU、MODBUS-TCP、MODBUS-UDP协议</w:t>
            </w:r>
          </w:p>
          <w:p w14:paraId="07CF07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自动联机，直接操作，不用人工设置</w:t>
            </w:r>
          </w:p>
          <w:p w14:paraId="27BDB5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保护内容：1）零线电缆高温保护  2）高温断电保护  3）短路保护  4）烟雾保护</w:t>
            </w:r>
          </w:p>
          <w:p w14:paraId="2E870E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6EC7A1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输入电压：380V</w:t>
            </w:r>
          </w:p>
          <w:p w14:paraId="0AC13A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输出电压：220V</w:t>
            </w:r>
          </w:p>
          <w:p w14:paraId="5819B4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额定功率：10KW</w:t>
            </w:r>
          </w:p>
          <w:p w14:paraId="382B0E9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输出回路：3个单相回路（AC220V） </w:t>
            </w:r>
          </w:p>
          <w:p w14:paraId="718A25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每路输出最大带载功率：≤3.33KW</w:t>
            </w:r>
          </w:p>
          <w:p w14:paraId="3A691F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回路状态监测：单回路</w:t>
            </w:r>
          </w:p>
          <w:p w14:paraId="37515D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远程控制：有</w:t>
            </w:r>
          </w:p>
          <w:p w14:paraId="2B5FD2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分步逐级上电：有</w:t>
            </w:r>
          </w:p>
          <w:p w14:paraId="45DFB2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计划任务上电：有</w:t>
            </w:r>
          </w:p>
          <w:p w14:paraId="6A1C81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温度检测：有</w:t>
            </w:r>
          </w:p>
          <w:p w14:paraId="4D542C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壳体尺寸：400*300*130 单位mm</w:t>
            </w:r>
          </w:p>
          <w:p w14:paraId="1B11F3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逻辑联动控制：有</w:t>
            </w:r>
          </w:p>
          <w:p w14:paraId="1E3D43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主断路器：德力西32A断路器*1</w:t>
            </w:r>
          </w:p>
          <w:p w14:paraId="157E13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交流接触器：德力西32A交流接触器*1</w:t>
            </w:r>
          </w:p>
          <w:p w14:paraId="32181B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子断路器：德力西32A微型1P断路器*3</w:t>
            </w:r>
          </w:p>
          <w:p w14:paraId="79ADA6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控制回路断路器：德力西10A 1P+N微型漏电保护断路器*1</w:t>
            </w:r>
          </w:p>
          <w:p w14:paraId="2E14CB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零地排：8位铜排*1</w:t>
            </w:r>
          </w:p>
          <w:p w14:paraId="6727DB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PLC控制器：正松PLC-180控制器*1</w:t>
            </w:r>
          </w:p>
          <w:p w14:paraId="6434D3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PLC控制电源模块：正松DC24V电源*1</w:t>
            </w:r>
          </w:p>
          <w:p w14:paraId="05340F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串口服务器：485转USB头*1</w:t>
            </w:r>
          </w:p>
          <w:p w14:paraId="2C0F4A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总重量：12KG</w:t>
            </w:r>
          </w:p>
          <w:p w14:paraId="61795A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380V供电总电缆：YJV-4*4mm²+2.5mm²</w:t>
            </w:r>
          </w:p>
          <w:p w14:paraId="35F01E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220V输出电缆：RVV3*2.5 mm²，最多接3根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E8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8F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8D5E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45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43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备品件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638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B0D8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030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同批次模组2张；电源2台；接收卡1张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93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FC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D9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D0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42D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钢结构及外装饰收边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F13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55F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LED室内焊接支架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0F10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LED室内焊接支架</w:t>
            </w:r>
          </w:p>
          <w:p w14:paraId="01B20E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快速响应及进场</w:t>
            </w:r>
          </w:p>
          <w:p w14:paraId="2EBA41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可实现交钥匙工程交付</w:t>
            </w:r>
          </w:p>
          <w:p w14:paraId="0B08AA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适用复杂场地、特殊异形项目、超大项目等</w:t>
            </w:r>
          </w:p>
          <w:p w14:paraId="20A450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p>
          <w:p w14:paraId="3D82F2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产品型号：LED室内焊接支架 </w:t>
            </w:r>
          </w:p>
          <w:p w14:paraId="61B985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产品配置：四周黑色不锈钢包边，钢结构支架 </w:t>
            </w:r>
          </w:p>
          <w:p w14:paraId="216468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重量（/m²）：20kg/m² </w:t>
            </w:r>
          </w:p>
          <w:p w14:paraId="0A221C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材质：Q235，钢材</w:t>
            </w:r>
          </w:p>
          <w:p w14:paraId="131B06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备注说明：默认仅含支架及屏幕四周一圈黑色不锈钢包边，若需要布线、封板、旧屏拆除等请另行沟通费用</w:t>
            </w:r>
          </w:p>
          <w:p w14:paraId="6465FA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颜色：黑色 </w:t>
            </w:r>
          </w:p>
          <w:p w14:paraId="13FCC7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厚度：最低100mm</w:t>
            </w:r>
          </w:p>
          <w:p w14:paraId="7E6E29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表面处理：焊接节点喷涂防锈漆</w:t>
            </w:r>
          </w:p>
          <w:p w14:paraId="7044F6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弧度：建议两列箱体之间夹角2°以内</w:t>
            </w:r>
          </w:p>
          <w:p w14:paraId="6E9032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材料：Q235 </w:t>
            </w:r>
          </w:p>
          <w:p w14:paraId="2DEF17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适用规模：不限 </w:t>
            </w:r>
          </w:p>
          <w:p w14:paraId="21361E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可定制范围：不限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A2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13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r>
      <w:tr w14:paraId="2F86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CD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73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DDC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350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DS-D4118CA-1PM_室内LED标准服务包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773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1、图纸方案</w:t>
            </w:r>
          </w:p>
          <w:p w14:paraId="5ACB30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2、海康支架安装</w:t>
            </w:r>
          </w:p>
          <w:p w14:paraId="170231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3、屏幕及发送卡安装</w:t>
            </w:r>
          </w:p>
          <w:p w14:paraId="384359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4、配电柜安装（不含380V强电接线）</w:t>
            </w:r>
          </w:p>
          <w:p w14:paraId="46AEA7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5、海康出货线缆布线（不含桥架、线管、穿墙打孔）</w:t>
            </w:r>
          </w:p>
          <w:p w14:paraId="5DE8F7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6、系统调试</w:t>
            </w:r>
          </w:p>
          <w:p w14:paraId="00E297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7、使用培训</w:t>
            </w:r>
          </w:p>
          <w:p w14:paraId="669272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8、施工区域产生的垃圾清理（不含远距离车辆运输）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30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F2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w:t>
            </w:r>
          </w:p>
        </w:tc>
      </w:tr>
      <w:tr w14:paraId="3823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CC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2B2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HDMI铜线视频线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5E5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56F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0C3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HDMI 1.3 1080P60Hz铜缆（20米）</w:t>
            </w:r>
          </w:p>
          <w:p w14:paraId="53AE1A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线缆类型（音视频线）：铜缆</w:t>
            </w:r>
          </w:p>
          <w:p w14:paraId="5C7A14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视频版本：HDMI 1.3</w:t>
            </w:r>
          </w:p>
          <w:p w14:paraId="667605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支持最大分辨率：1080P 60Hz</w:t>
            </w:r>
          </w:p>
          <w:p w14:paraId="2A5182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接口类型：HDMI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D6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C9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11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22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56D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HDMI光纤视频线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AFE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F98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008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10米HDMI光纤视频线</w:t>
            </w:r>
          </w:p>
          <w:p w14:paraId="721C41A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支持HDMI 2.0标准，</w:t>
            </w:r>
          </w:p>
          <w:p w14:paraId="4F60B8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支持HDCP 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F5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04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8B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6B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24F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会议系统专用全频音箱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926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5E3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DS-65AUH100(B)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3E3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1.倒相式低频辐射的二分频全频系统；</w:t>
            </w:r>
          </w:p>
          <w:p w14:paraId="2E2706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2.表面黑色大斑点水性油漆喷涂处理木箱，金属网背贴声学透声棉；</w:t>
            </w:r>
          </w:p>
          <w:p w14:paraId="2370D2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3.音箱配备多个吊挂孔，可用吊环加绳索类配件吊挂安装；</w:t>
            </w:r>
          </w:p>
          <w:p w14:paraId="338732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4.音箱底部配备插槽，可壁挂支撑或三脚架落地支撑。</w:t>
            </w:r>
          </w:p>
          <w:p w14:paraId="303A8E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5.系统组成 8"低音×1，1 "高音×1</w:t>
            </w:r>
          </w:p>
          <w:p w14:paraId="2AD743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6.频响范围(-10dB) 85Hz -18,000Hz</w:t>
            </w:r>
          </w:p>
          <w:p w14:paraId="268C7B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7.灵敏度 93dB±2dB</w:t>
            </w:r>
          </w:p>
          <w:p w14:paraId="0B3806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8.最大声压级 112dB±2dB</w:t>
            </w:r>
          </w:p>
          <w:p w14:paraId="71FB0A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9.输入阻抗 8Ω</w:t>
            </w:r>
          </w:p>
          <w:p w14:paraId="76AC4A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10.持续功率 100W</w:t>
            </w:r>
          </w:p>
          <w:p w14:paraId="57C6A7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11.指向性（H×V） 70°×90°</w:t>
            </w:r>
          </w:p>
          <w:p w14:paraId="20041B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12.尺寸（高×宽×深） 430×265×231mm</w:t>
            </w:r>
          </w:p>
          <w:p w14:paraId="2CA5FE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13.重量 8.2kg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376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388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57C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F2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5DB3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双通道专业数字功放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597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031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DS-QAPA2012-2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CD0D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1.双声道立体声专业数字功率放大器,全系列统铝合金面板；</w:t>
            </w:r>
          </w:p>
          <w:p w14:paraId="2A40CC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有双声道、单声道和BTL桥接三种输出方式供选择，输出方式开关选择；                                                         </w:t>
            </w:r>
          </w:p>
          <w:p w14:paraId="208CF3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3.每声道音量可调；</w:t>
            </w:r>
          </w:p>
          <w:p w14:paraId="68301F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 立体声工作最小负载阻抗为4Ω，BTL工作最小负载阻抗为8Ω；动态功率强劲，可实现低阻抗驱动。</w:t>
            </w:r>
          </w:p>
          <w:p w14:paraId="3A1B51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全系列配置XLR平行输入输出接口，更适合专业设备的应用习惯；</w:t>
            </w:r>
          </w:p>
          <w:p w14:paraId="57A872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 小信号的时候不会出现交越失真；</w:t>
            </w:r>
          </w:p>
          <w:p w14:paraId="3DABF4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 内置先进的电压压限，可以避免输入电压出现异常或过大导致功率输出异常，出现削波失真影响听音体验以及危害音箱的高音单元。</w:t>
            </w:r>
          </w:p>
          <w:p w14:paraId="36FBF9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 中高频比模拟功放更清晰，非常适合用于会议等多种不同场合的语言传输和扩声；</w:t>
            </w:r>
          </w:p>
          <w:p w14:paraId="39B677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 效率要高，发热量更少，工作温度范围更宽；                        </w:t>
            </w:r>
          </w:p>
          <w:p w14:paraId="78D4A4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9.各通道均配备LED工作状态指示；                                 </w:t>
            </w:r>
          </w:p>
          <w:p w14:paraId="6B228B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10.输入灵敏度：≤1000mV                                        </w:t>
            </w:r>
          </w:p>
          <w:p w14:paraId="0FA406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11.信噪比：≥95dB                                                   </w:t>
            </w:r>
          </w:p>
          <w:p w14:paraId="577167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12.频响：20Hz-20kHz（±1dB）                                                 </w:t>
            </w:r>
          </w:p>
          <w:p w14:paraId="6970BC4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13.通道串扰：&lt; -70dB                                              </w:t>
            </w:r>
          </w:p>
          <w:p w14:paraId="27F424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14.转换速率：≥15V/uS                                                 </w:t>
            </w:r>
          </w:p>
          <w:p w14:paraId="3E74B6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15.阻尼系数/8Ω@1Khz： ≥230                                </w:t>
            </w:r>
          </w:p>
          <w:p w14:paraId="3F5B58D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16.总谐波失真：≤0.3% （1kHz，正常工作条件）                               </w:t>
            </w:r>
          </w:p>
          <w:p w14:paraId="2223C5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17.额定功率：2X230W@8Ω 2X350W@4Ω 700W@桥接8Ω</w:t>
            </w:r>
          </w:p>
          <w:p w14:paraId="7BA402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18.指示灯：“电源”, “削顶”, “信号”,“保护”,“温度”     保护：超温、直流、短路、连续信号限制 </w:t>
            </w:r>
          </w:p>
          <w:p w14:paraId="00E430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19.电源：AC220/50-60Hz</w:t>
            </w:r>
          </w:p>
          <w:p w14:paraId="206AB3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20.机器尺寸（L×W×H  mm）：483×396×88 (2U)                    </w:t>
            </w:r>
          </w:p>
          <w:p w14:paraId="5FDC6B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21.净重：6.5KG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5A3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EBF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5B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5B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20C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164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104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ZJB01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E28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音箱壁挂托架</w:t>
            </w:r>
          </w:p>
          <w:p w14:paraId="40197C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承重：≤35KG</w:t>
            </w:r>
          </w:p>
          <w:p w14:paraId="42CF30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安装速度快、钢材安全耐用</w:t>
            </w:r>
          </w:p>
          <w:p w14:paraId="0BD36F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水平角度：-90°~+90°</w:t>
            </w:r>
          </w:p>
          <w:p w14:paraId="5184E7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垂直角度：-5°~+30°</w:t>
            </w:r>
          </w:p>
          <w:p w14:paraId="13B678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ZJB01具有安装速度快、安全耐用等优点。</w:t>
            </w:r>
          </w:p>
          <w:p w14:paraId="29FDB4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适用于市面上带底座孔的音箱 ：8英寸，10英寸，12英寸...等等。</w:t>
            </w:r>
          </w:p>
          <w:p w14:paraId="5BEF77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离墙安装距离：200mm\ 230mm\260mm\292mm\323mm</w:t>
            </w:r>
          </w:p>
          <w:p w14:paraId="6B6A11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尺寸：363 x 80 x 180 mm(长x宽x高)</w:t>
            </w:r>
          </w:p>
          <w:p w14:paraId="2C95EA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重量：1.69Kg</w:t>
            </w:r>
          </w:p>
          <w:p w14:paraId="0C2B57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材质：钢板、钢管</w:t>
            </w:r>
          </w:p>
          <w:p w14:paraId="012BC6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颜色：黑色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77F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F62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897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26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71F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BAB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2E1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DS-QA2PD040801-N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683A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1.4路模拟输入8路模拟输出</w:t>
            </w:r>
          </w:p>
          <w:p w14:paraId="031B9B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2.支持麦克风输入和线路输入自由切换</w:t>
            </w:r>
          </w:p>
          <w:p w14:paraId="321A26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3.每路输入带48V幻象电源，通过网页开关控制</w:t>
            </w:r>
          </w:p>
          <w:p w14:paraId="35CDD2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4.输入电平设置、信号发生器、噪声门、延时、压限器、限幅器</w:t>
            </w:r>
          </w:p>
          <w:p w14:paraId="1B8215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5.每路输入带反馈抑制功能开关</w:t>
            </w:r>
          </w:p>
          <w:p w14:paraId="266C6D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6.矩阵混音功能</w:t>
            </w:r>
          </w:p>
          <w:p w14:paraId="7DDF20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7.TCP/IP，网页端进行各种参数调节控制</w:t>
            </w:r>
          </w:p>
          <w:p w14:paraId="172065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8.RS-232、RS-485、GPIO接口提供完善的控制功能</w:t>
            </w:r>
          </w:p>
          <w:p w14:paraId="078136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9.输入5段PEQ可调，输出9段PEQ可调</w:t>
            </w:r>
          </w:p>
          <w:p w14:paraId="4B3D55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10.多种模式场景快速切换</w:t>
            </w:r>
          </w:p>
          <w:p w14:paraId="4DD581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11.供电范围：AC100V---240V  50/60 Hz</w:t>
            </w:r>
          </w:p>
          <w:p w14:paraId="6DBC530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12.尺寸：44.5mmx482mmx265mm</w:t>
            </w:r>
          </w:p>
          <w:p w14:paraId="3E3177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13.净重：2.8kg，3.3kg</w:t>
            </w:r>
          </w:p>
          <w:p w14:paraId="132670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14.工作温度：-20℃--80℃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22A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0A1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9E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E2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7415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752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27C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DS-QA4PAM0801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361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频率响应：麦克风输入至主输出： &lt;10Hz～90kHz：-0dB/-1dB &lt;10Hz～160kHz：+0dB/-3dB 立体声输入：6.3mm 立体声道，平衡式；20kQ；+22dBu；80Hz/±15dB EQ单通道： 低：80Hz/±15dB 中：100Hz～8kHz/±15dB 高：12kHz/±15dB EQ立体声通道 低：80Hz/±15dB 中：2kHz/±15dB 高：12kHz/±15dB</w:t>
            </w:r>
          </w:p>
          <w:p w14:paraId="194658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音频输出：主输出：XLR平衡式；240Ω平衡/120Ω非平衡式；+22dBu 耳机输出：6.3mm 立体声道，+19dBu 150Ω(+25dBm)</w:t>
            </w:r>
          </w:p>
          <w:p w14:paraId="267D9E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工作电源：230V~50/60Hz 标准IEC插座</w:t>
            </w:r>
          </w:p>
          <w:p w14:paraId="297F40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电源功耗：35W</w:t>
            </w:r>
          </w:p>
          <w:p w14:paraId="6DCF11B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麦克风：麦克风输入 E.I.N.(20Hz-20kHz) 类型：XLR电子平衡、离散输入电路 @0Ω源电阻：-134dB/135.7dB A-加权的 @50Ω源电阻：-131dB/133.3dB A-加权的 @150Ω源电阻：-129dB/130.5dB A-加权的 频率响应：&lt;10Hz～150kHz(-1dB) &lt;10Hz～200kHz(-3dB） 增益：+10dB～+60dB 最大输入：+12dBu@+10dB Gain 阻抗：2.6kΩ 信噪比：110dB/112dB 0dBu In @+22dB gain) 失真度：0.005%/0.004% 类型：6.3mm立体声道，平衡式 阻抗：平衡输出：20kΩ 非平衡输出：10kQ 增益：-10dB～+40dB 最大输入：+22dBu@OdB Gain</w:t>
            </w:r>
          </w:p>
          <w:p w14:paraId="26541E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信号衰减：主推子关闭：90dB 频道静音：89dB 通道推子关闭：89dB</w:t>
            </w:r>
          </w:p>
          <w:p w14:paraId="1A1AF4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辅助发送：6.3mm 单声道非平衡；120Ω；+22dBu</w:t>
            </w:r>
          </w:p>
          <w:p w14:paraId="22C43A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Sub编组发送：6.3mm 单声道非平衡；120Ω；+22dBu</w:t>
            </w:r>
          </w:p>
          <w:p w14:paraId="0DF090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噪声：主混音@-∞：-101dB 通道推子@-∞：-100dB 主混音@0dB： -93dB 通道推子@-∞：-96dB 主混音@0dB：-81dB 通道推子@0dB：-83dB</w:t>
            </w:r>
          </w:p>
          <w:p w14:paraId="2F7B9B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材质：冷轧板、塑料</w:t>
            </w:r>
          </w:p>
          <w:p w14:paraId="4D6118F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颜色：PANTONE BLACK 6C</w:t>
            </w:r>
          </w:p>
          <w:p w14:paraId="5BCAF2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安装方式：整体式安装</w:t>
            </w:r>
          </w:p>
          <w:p w14:paraId="3BACA4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产品尺寸：360x493.5x88mm</w:t>
            </w:r>
          </w:p>
          <w:p w14:paraId="234F50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包装尺寸：570*435*175mm</w:t>
            </w:r>
          </w:p>
          <w:p w14:paraId="3258A5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净重：4.45kg</w:t>
            </w:r>
          </w:p>
          <w:p w14:paraId="5A0775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带包装重量：4.5kg</w:t>
            </w:r>
          </w:p>
          <w:p w14:paraId="7AD3B7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工作温度和湿度：环境温度：-10～40℃、相对湿度：≤90%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9FB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4B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60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67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762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U段一拖二手持话筒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0B0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9CE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DS-QA2IWTH01-2UP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B03E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U段一拖二手持话筒</w:t>
            </w:r>
          </w:p>
          <w:p w14:paraId="6915F1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用UHF超高频段，比传统的VHF频段干扰更少，传输更可靠</w:t>
            </w:r>
          </w:p>
          <w:p w14:paraId="0FDEC6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具有一键自动扫频功能，可自动扫描出使用环境中最干净的频点，环境适应性强，交付便捷</w:t>
            </w:r>
          </w:p>
          <w:p w14:paraId="395E3E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具备前置监听接口，可便捷对接收机的音频输出效果进行监听</w:t>
            </w:r>
          </w:p>
          <w:p w14:paraId="30F2D7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支持平衡和非平衡两种选择输出端口，适应不同的设备连接需求</w:t>
            </w:r>
          </w:p>
          <w:p w14:paraId="23452B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支持mic/line两种输出模式，适配不同后级接入设备</w:t>
            </w:r>
          </w:p>
          <w:p w14:paraId="6461AD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红外对频功能，只需一按接收机对频键，发射机就会自动追锁接收机频率并调整一致，方便使用</w:t>
            </w:r>
          </w:p>
          <w:p w14:paraId="574691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接收机可设置锁屏功能，防止使用误操作</w:t>
            </w:r>
          </w:p>
          <w:p w14:paraId="4B14422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高档液晶显示屏采用全新的背光补亮方式，使接收机及发射器的工作状态一目了然</w:t>
            </w:r>
          </w:p>
          <w:p w14:paraId="5640EB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数字ID导频技术，从根本避免串频串音问题，智能识别，减少系统互相干扰</w:t>
            </w:r>
          </w:p>
          <w:p w14:paraId="6D8553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真分集接收主机，两套芯片级独立系统同步接收，扩大覆盖范围，规避空间盲点，显著提升信号质量</w:t>
            </w:r>
          </w:p>
          <w:p w14:paraId="4C0278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载波频率范围：630~698MHz</w:t>
            </w:r>
          </w:p>
          <w:p w14:paraId="02E1CD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频带宽度：200kHz</w:t>
            </w:r>
          </w:p>
          <w:p w14:paraId="47C2977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有效工作距离：100m（空旷无遮挡）</w:t>
            </w:r>
          </w:p>
          <w:p w14:paraId="11667A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射频灵敏度：-102 dBm  </w:t>
            </w:r>
          </w:p>
          <w:p w14:paraId="64CA9F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信道数量：181 （15组） </w:t>
            </w:r>
          </w:p>
          <w:p w14:paraId="57769AC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最大输出电平：XRL（LINE）：7.85 dBV     </w:t>
            </w:r>
          </w:p>
          <w:p w14:paraId="72D983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6.35mm（LINE）： 5.25 dBV</w:t>
            </w:r>
          </w:p>
          <w:p w14:paraId="52EB18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3.5mm（LINE）：4.6 dBV </w:t>
            </w:r>
          </w:p>
          <w:p w14:paraId="4AC759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天线接口：BNC</w:t>
            </w:r>
          </w:p>
          <w:p w14:paraId="23AC53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天线阻抗：50Ω</w:t>
            </w:r>
          </w:p>
          <w:p w14:paraId="04EB097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供电电压：DC12V </w:t>
            </w:r>
          </w:p>
          <w:p w14:paraId="748E00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麦克风类型：动圈麦</w:t>
            </w:r>
          </w:p>
          <w:p w14:paraId="679AD1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指向性：超心型</w:t>
            </w:r>
          </w:p>
          <w:p w14:paraId="30A608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供电：2*AA</w:t>
            </w:r>
          </w:p>
          <w:p w14:paraId="5594C8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连续工作时间：8h（原装电池） </w:t>
            </w:r>
          </w:p>
          <w:p w14:paraId="2EE4DF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总谐波失真：0.5%（1kHz）</w:t>
            </w:r>
          </w:p>
          <w:p w14:paraId="56CC17A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信噪比（A记权）：XRL（LINE）：105dBV </w:t>
            </w:r>
          </w:p>
          <w:p w14:paraId="47E8C8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6.35mm（LINE）： 96dBV  </w:t>
            </w:r>
          </w:p>
          <w:p w14:paraId="489D2F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动态范围：XRL（LINE）：105dBV </w:t>
            </w:r>
          </w:p>
          <w:p w14:paraId="560AF6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6.35mm（LINE）： 96dBV  </w:t>
            </w:r>
          </w:p>
          <w:p w14:paraId="22B7EB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频率响应 ：50Hz ~ 13kHz</w:t>
            </w:r>
          </w:p>
          <w:p w14:paraId="5029A1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最大输入声压：120 dBSPL </w:t>
            </w:r>
          </w:p>
          <w:p w14:paraId="5A83D1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产品尺寸：话筒：255.5mm*49.72mm*49.72mm</w:t>
            </w:r>
          </w:p>
          <w:p w14:paraId="47830D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接收机：419.98mm*171.50mm*45.00mm（1U）</w:t>
            </w:r>
          </w:p>
          <w:p w14:paraId="395B379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净重：话筒：284g；</w:t>
            </w:r>
          </w:p>
          <w:p w14:paraId="5802BD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接收机：1820 g</w:t>
            </w:r>
          </w:p>
          <w:p w14:paraId="7BB060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工作温度和湿度：-10~50℃  ， 90 %RH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399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0E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3180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FC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11C2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反馈抑制器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050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CA0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DS-QA4PF0201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92D5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反馈抑制器</w:t>
            </w:r>
          </w:p>
          <w:p w14:paraId="1E866C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2寸彩色液晶显示屏，可实时查看当前通道电平和每通道当前的动态陷波器数量。</w:t>
            </w:r>
          </w:p>
          <w:p w14:paraId="53A6C3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主机上可手动选择启动或不启动陷波器和EQ功能，极大的方便了客户的现场调试。</w:t>
            </w:r>
          </w:p>
          <w:p w14:paraId="31544F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支持48V幻象供电，可用于连接幻象电源话筒。</w:t>
            </w:r>
          </w:p>
          <w:p w14:paraId="6CD2BD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模拟输入通道2CH-XLR和1/4“TRS多功能combo输入口，模拟输出通道2CH-XLR和1/4“TRS输出口。</w:t>
            </w:r>
          </w:p>
          <w:p w14:paraId="4F565C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每通道最多可设24个动态陷波器，12个PEQ。分辨精度1Hz工作频率20Hz-20KHz，支持一键清除啸叫点。</w:t>
            </w:r>
          </w:p>
          <w:p w14:paraId="78C552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支持12个静态滤波器，可对自动陷波的啸叫点进行固化。</w:t>
            </w:r>
          </w:p>
          <w:p w14:paraId="785D69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采用24BIT A/D及D/A转换。</w:t>
            </w:r>
          </w:p>
          <w:p w14:paraId="4342F8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响应时间快中慢3速可设定，陷波器Q值自动选取。</w:t>
            </w:r>
          </w:p>
          <w:p w14:paraId="20B76A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自动扫描啸叫点并抑制。</w:t>
            </w:r>
          </w:p>
          <w:p w14:paraId="3ED610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噪声门功能可抑制系统微弱噪声干扰。</w:t>
            </w:r>
          </w:p>
          <w:p w14:paraId="503C16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每通道，增益-64dB到+6dB，并支持压缩器功能。</w:t>
            </w:r>
          </w:p>
          <w:p w14:paraId="6DB530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采用“陷波”+“移频”双方式进行反馈抑制，每路设有四档移频选择，配合陷波器使用，防啸叫效果出类拔萃。</w:t>
            </w:r>
          </w:p>
          <w:p w14:paraId="64224A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设备带有面板锁功能，防止人为误操作。</w:t>
            </w:r>
          </w:p>
          <w:p w14:paraId="274D6D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独立的WINDOWS操作系统软件，人机交互界面直观有效。</w:t>
            </w:r>
          </w:p>
          <w:p w14:paraId="4822D83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支持20组场景调用和保存。</w:t>
            </w:r>
          </w:p>
          <w:p w14:paraId="6274E81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抑制器：采用“陷波”+“移频”双方式进行反馈抑制，也可单独使用</w:t>
            </w:r>
          </w:p>
          <w:p w14:paraId="28BBF0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滤波器：带宽0.404-28.85</w:t>
            </w:r>
          </w:p>
          <w:p w14:paraId="24385B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消除反馈时间：快，中，慢，3档</w:t>
            </w:r>
          </w:p>
          <w:p w14:paraId="579BFE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存储器：容量4MB </w:t>
            </w:r>
          </w:p>
          <w:p w14:paraId="7986AA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音频输入：2CH-XLR和1/4“TRS(母)输入,电子平衡/不平衡</w:t>
            </w:r>
          </w:p>
          <w:p w14:paraId="07D645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输入阻抗：平衡47KΩ，不平衡20KΩ</w:t>
            </w:r>
          </w:p>
          <w:p w14:paraId="311FE7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最大输入电平：+18dBu</w:t>
            </w:r>
          </w:p>
          <w:p w14:paraId="5F8897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音频输出：2CH-XLR和1/4“TRS(母)输入,电子平衡/不平衡</w:t>
            </w:r>
          </w:p>
          <w:p w14:paraId="7BEF3A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输出阻抗：平衡&gt;120Ω，不平衡&gt;60Ω</w:t>
            </w:r>
          </w:p>
          <w:p w14:paraId="39ABC3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最大输出电平：+15dBu</w:t>
            </w:r>
          </w:p>
          <w:p w14:paraId="2B7AC8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频率响应：20Hz-20KHz，±0.3db</w:t>
            </w:r>
          </w:p>
          <w:p w14:paraId="7E00FD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信噪比（A记权）：＞102db</w:t>
            </w:r>
          </w:p>
          <w:p w14:paraId="66B756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灵敏度：Mic:-20dB/1KHz   Line：0dB/1KHz</w:t>
            </w:r>
          </w:p>
          <w:p w14:paraId="6D9518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总谐波失真：0.007％, 1KHz; 20Hz-10KH, &lt;0.01％; 10KHz-20KHz, &lt;0.025％</w:t>
            </w:r>
          </w:p>
          <w:p w14:paraId="0A34DA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动态范围：103dB</w:t>
            </w:r>
          </w:p>
          <w:p w14:paraId="1C696F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工作电源：100-240V～,  50Hz/60Hz </w:t>
            </w:r>
          </w:p>
          <w:p w14:paraId="70C9D9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整机接口：输入3芯XLR母插座/6.3插咀 *2</w:t>
            </w:r>
          </w:p>
          <w:p w14:paraId="6620AC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输出3芯XLR公插座/6.3插咀  *2</w:t>
            </w:r>
          </w:p>
          <w:p w14:paraId="7D61E6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USB接口 *1</w:t>
            </w:r>
          </w:p>
          <w:p w14:paraId="17F143E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3芯IEC 插座 *1</w:t>
            </w:r>
          </w:p>
          <w:p w14:paraId="5858F5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电源100-240V~50/60Hz，耗电量＜30瓦</w:t>
            </w:r>
          </w:p>
          <w:p w14:paraId="534BE3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工作温度和湿度：-10℃～60℃，40%～60%</w:t>
            </w:r>
          </w:p>
          <w:p w14:paraId="00091C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净重：2.2 kg</w:t>
            </w:r>
          </w:p>
          <w:p w14:paraId="210E66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带包装重量：2.8 kg</w:t>
            </w:r>
          </w:p>
          <w:p w14:paraId="2ACFD0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产品尺寸：485 mm × 185 mm × 45 mm</w:t>
            </w:r>
          </w:p>
          <w:p w14:paraId="46E2F0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包装尺寸：590 mm × 256 mm × 85 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90F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D2D6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490D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D5C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CF6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8路网络电源时序器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4CC2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6C8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DS-QA4PP0801-N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870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8路网络电源时序器</w:t>
            </w:r>
          </w:p>
          <w:p w14:paraId="12D88E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产品外观高端大方。1U标准机身、拉丝铝面板搭配2寸中英文智能显示窗，可实时显示当前电压、日期时间、通道开关状态。</w:t>
            </w:r>
          </w:p>
          <w:p w14:paraId="779883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标配电源EMI滤波器，可有效抑制电磁噪声，减小对设备音质的干扰。</w:t>
            </w:r>
          </w:p>
          <w:p w14:paraId="19254B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配置RS232、RS485接口，支持外部中控设备控制。</w:t>
            </w:r>
          </w:p>
          <w:p w14:paraId="6B1EE0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485接口可用于时序器之间的级联和管理，即系统的扩充，支持≧16台设备级联顺序控制。</w:t>
            </w:r>
          </w:p>
          <w:p w14:paraId="3A19A3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置时钟芯片，可根据日期时间定时设置自动开关机，不须人为操作。支持周一到周日任意时间的定时器开关，还支持设置特定日期、特定时间的非循环或者循环开关。定时时间可精确到年、月、日、时、分、秒。适用性广，实用性强。</w:t>
            </w:r>
          </w:p>
          <w:p w14:paraId="00DE95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组设备开关场景数据保存/调用，场景管理应用简单便捷。可因应开会、培训、演讲、K歌、电影、离开等不同场景需求分别设置受控通道、开关延时等参数，保存到对应的模式，随时可以调取场景。同时，场景模式支持重命名。</w:t>
            </w:r>
          </w:p>
          <w:p w14:paraId="6A6F0A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可对输入电源、负载设备进行电压监控。</w:t>
            </w:r>
          </w:p>
          <w:p w14:paraId="1D19AC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提供专业PC软件、平板APP软件，支持有线和无线软件调控，可对设备参数进行精确、有效的设置。</w:t>
            </w:r>
          </w:p>
          <w:p w14:paraId="565E00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每台时序器自带ID设置和检测，接入网络后可实现远程云端管理。利用我司提供的专业PC软件，可以打破远距离的障碍，对任何地方、任何场景的设备进行有效的监控、调试和维护。</w:t>
            </w:r>
          </w:p>
          <w:p w14:paraId="0BB217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PC软件支持模式保存、调用、通道开关状态、开关机延时设置、过压欠压保护、电压校准等功能设置。</w:t>
            </w:r>
          </w:p>
          <w:p w14:paraId="060C40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支持云端管理，可对机器进行远端的控制及维护</w:t>
            </w:r>
          </w:p>
          <w:p w14:paraId="65A1FC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支持上电自启功能，机器给电自动开机无需再次手动控制。</w:t>
            </w:r>
          </w:p>
          <w:p w14:paraId="101007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在延时设置页面下，当开延时选项设成无穷大，即表示此通道永远不会接通，当关延时选项设成无穷大，即表示此通道永远不会关闭。</w:t>
            </w:r>
          </w:p>
          <w:p w14:paraId="48D30F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总功率6600W，额定总输出电流30A，单路额定输出电流13A 。</w:t>
            </w:r>
          </w:p>
          <w:p w14:paraId="3E12E86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支持8路时序开关功能，每路延时开启和关闭时间可自由设置0-999秒。</w:t>
            </w:r>
          </w:p>
          <w:p w14:paraId="76C3F6E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主电缆均为高纯铜缆，国标3C认证护套线 3×6mm²，长度 1.5 米</w:t>
            </w:r>
          </w:p>
          <w:p w14:paraId="0A8AD0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工作电源：220VAC, 50/60Hz</w:t>
            </w:r>
          </w:p>
          <w:p w14:paraId="32D08B6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输出通道延时：0到999秒</w:t>
            </w:r>
          </w:p>
          <w:p w14:paraId="2B78F2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输出电流：单路额定输出电流13A</w:t>
            </w:r>
          </w:p>
          <w:p w14:paraId="22B607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额定总输出电流30A</w:t>
            </w:r>
          </w:p>
          <w:p w14:paraId="357B38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线路输出：8路，外加2路输出辅助通道（辅助通道机器上电即通电，不受时序器控制） </w:t>
            </w:r>
          </w:p>
          <w:p w14:paraId="13FD7A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工作温度和湿度：-10℃～60℃，40%～60%</w:t>
            </w:r>
          </w:p>
          <w:p w14:paraId="620E70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净重：4.45 kg</w:t>
            </w:r>
          </w:p>
          <w:p w14:paraId="242158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带包装重量：5 kg</w:t>
            </w:r>
          </w:p>
          <w:p w14:paraId="7595E5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产品尺寸：485 mm × 290 mm × 45 mm</w:t>
            </w:r>
          </w:p>
          <w:p w14:paraId="47AA67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包装尺寸：536 mm × 410 mm × 80 mm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E2F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BD7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14:paraId="044F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54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25B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628F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3FB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10F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2E0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136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675F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4D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CCAA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3.5转双莲花音频线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7F0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A629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RVVP2*0.3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92B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RVVP2*0.3两芯带屏蔽音频线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E71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B4A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14:paraId="6794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A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94C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69C0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F96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6740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6E9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F3E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0385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6B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6A9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A3C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174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364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C8A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9B7C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r w14:paraId="5D65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2B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A179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5D7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A1A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300x530x400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3F2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A2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34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B1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4F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193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多媒体地插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37D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MSHML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EB7E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C0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一个电源、一个HDMI、一个3.5音频、一个网络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3D6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69E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2B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877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一楼大厅LED屏</w:t>
            </w:r>
          </w:p>
        </w:tc>
      </w:tr>
      <w:tr w14:paraId="2D05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C72A4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BD171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 全彩显示屏</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23985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A0417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DS-D4118CA-1PM</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F3AB1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画面均匀一致，无黑线，实现真正无缝拼接 </w:t>
            </w:r>
          </w:p>
          <w:p w14:paraId="7CD3DD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高刷新频率，高灰度处理，显示画面细腻流畅 </w:t>
            </w:r>
          </w:p>
          <w:p w14:paraId="7B49B9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像素结构：1R1G1B</w:t>
            </w:r>
          </w:p>
          <w:p w14:paraId="049676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像素间距：1.86mm</w:t>
            </w:r>
          </w:p>
          <w:p w14:paraId="472680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像素密度：288906 点/㎡</w:t>
            </w:r>
          </w:p>
          <w:p w14:paraId="507CF19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维护方式：完全前维护 </w:t>
            </w:r>
          </w:p>
          <w:p w14:paraId="33C6E17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灯珠尺寸：1515</w:t>
            </w:r>
          </w:p>
          <w:p w14:paraId="684A09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模组尺寸：320（W）× 160（H）× 28.6（D） mm（含磁铁厚度）</w:t>
            </w:r>
          </w:p>
          <w:p w14:paraId="3BADE2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模组分辨率：172 × 86</w:t>
            </w:r>
          </w:p>
          <w:p w14:paraId="2304711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模组重量：0.46 kg/块</w:t>
            </w:r>
          </w:p>
          <w:p w14:paraId="370FF4A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信号接口：HUB75E *  16（出货配置为16口接收卡）</w:t>
            </w:r>
          </w:p>
          <w:p w14:paraId="63D8A0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防护等级：IP30</w:t>
            </w:r>
          </w:p>
          <w:p w14:paraId="2DB4CC1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套件材质：塑壳 </w:t>
            </w:r>
          </w:p>
          <w:p w14:paraId="5C8F88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封装品牌：国产铜线 </w:t>
            </w:r>
          </w:p>
          <w:p w14:paraId="23C86D0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白平衡亮度：500 cd/㎡</w:t>
            </w:r>
          </w:p>
          <w:p w14:paraId="77DFD2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色温：3000-10000 K可调</w:t>
            </w:r>
          </w:p>
          <w:p w14:paraId="62D3E2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可视角：160°(H)/160°(V)</w:t>
            </w:r>
          </w:p>
          <w:p w14:paraId="2006A2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对比度：3000：1</w:t>
            </w:r>
          </w:p>
          <w:p w14:paraId="6C4AC0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色度均匀性：± 0.003Cx，Cy之内</w:t>
            </w:r>
          </w:p>
          <w:p w14:paraId="35603B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亮度均匀性：≥ 97％</w:t>
            </w:r>
          </w:p>
          <w:p w14:paraId="77A235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最佳视距：2.4m~6.2m </w:t>
            </w:r>
          </w:p>
          <w:p w14:paraId="02942C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电源接口：VH4PIN，电源200W推荐带载6张灯板 </w:t>
            </w:r>
          </w:p>
          <w:p w14:paraId="7BD6CF9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驱动方式：恒流驱动</w:t>
            </w:r>
          </w:p>
          <w:p w14:paraId="2C2B7A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扫描数：43S</w:t>
            </w:r>
          </w:p>
          <w:p w14:paraId="630861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换帧频率：60 Hz</w:t>
            </w:r>
          </w:p>
          <w:p w14:paraId="770291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刷新率：3840 Hz</w:t>
            </w:r>
          </w:p>
          <w:p w14:paraId="03EC85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灰度等级：最大支持16 bit </w:t>
            </w:r>
          </w:p>
          <w:p w14:paraId="5261D6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峰值功耗：≤430W/㎡</w:t>
            </w:r>
          </w:p>
          <w:p w14:paraId="62991B1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平均功耗：≤145W/㎡</w:t>
            </w:r>
          </w:p>
          <w:p w14:paraId="222B0A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供电要求：AC：200-240V~</w:t>
            </w:r>
          </w:p>
          <w:p w14:paraId="62CF30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模组供电电压：DC：4.5-5V</w:t>
            </w:r>
          </w:p>
          <w:p w14:paraId="0CD859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模组峰值功耗：23W</w:t>
            </w:r>
          </w:p>
          <w:p w14:paraId="7D22012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模组最大电流：5A </w:t>
            </w:r>
          </w:p>
          <w:p w14:paraId="7D0CE98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工作温度：-10 ℃ ~ 40 ℃</w:t>
            </w:r>
          </w:p>
          <w:p w14:paraId="2950E70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工作湿度：10%~80% RH（无冷凝水）</w:t>
            </w:r>
          </w:p>
          <w:p w14:paraId="10E8A78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存储温度：-20 ℃ ~ 60 ℃</w:t>
            </w:r>
          </w:p>
          <w:p w14:paraId="4D68E5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存储湿度：10%~85% RH（无冷凝水） </w:t>
            </w:r>
          </w:p>
          <w:p w14:paraId="0BDD75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包装尺寸：634 (W) mm × 380 (H) mm × 410 (D) mm</w:t>
            </w:r>
          </w:p>
          <w:p w14:paraId="666E36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包装方式：1包40</w:t>
            </w:r>
          </w:p>
          <w:p w14:paraId="4A5617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毛重：0.545 kg/块</w:t>
            </w:r>
          </w:p>
          <w:p w14:paraId="23898A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净重：0.46 kg/块 </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04A9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05AA8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r>
      <w:tr w14:paraId="7020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FF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78B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5DC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C3F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DS-DT60B-01HI04NO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F6E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4网口 2K LED异步控制器</w:t>
            </w:r>
          </w:p>
          <w:p w14:paraId="0E0953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1U高度半宽机箱 机架式设计，工业级机箱系统。</w:t>
            </w:r>
          </w:p>
          <w:p w14:paraId="6A4E7D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设备前面板具备按键，可支持亮度调节、信源切换。</w:t>
            </w:r>
          </w:p>
          <w:p w14:paraId="72AD836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前面板具备指示灯，可提示设备上电状态、信号接入状态、运行状态等信息。</w:t>
            </w:r>
          </w:p>
          <w:p w14:paraId="788AF6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支持1路视频信号输入，支持HDMI1.4 分辨率1920*1200@60Hz</w:t>
            </w:r>
          </w:p>
          <w:p w14:paraId="0E35A6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支持帧率自适应，图像采集可支持25HZ~60HZ自适应。</w:t>
            </w:r>
          </w:p>
          <w:p w14:paraId="1E6013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图像带载输出支持RGB444 无损画质。</w:t>
            </w:r>
          </w:p>
          <w:p w14:paraId="508945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支持4路网口带载输出，带载高达260万像素，单台设备最大带载最大宽度5120，最大高度5120，每网口 最大65W。</w:t>
            </w:r>
          </w:p>
          <w:p w14:paraId="5E8E2A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支持HDMI音视频复合流输入，支持3.5mm音频输出</w:t>
            </w:r>
          </w:p>
          <w:p w14:paraId="04B247C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支持视频信号输入全屏缩放及自定义缩放，支持信源切换。</w:t>
            </w:r>
          </w:p>
          <w:p w14:paraId="442EA8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支持HDCP 2.2协议的高带宽数字内容保护技术。</w:t>
            </w:r>
          </w:p>
          <w:p w14:paraId="530441E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支持自定义EDID设置。</w:t>
            </w:r>
          </w:p>
          <w:p w14:paraId="1B8E50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支持双备份，支持双电源备份、发送卡双网口备份，双发送卡双接收卡备份。</w:t>
            </w:r>
          </w:p>
          <w:p w14:paraId="79BA321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支持任意走线、无矩形框架限制。</w:t>
            </w:r>
          </w:p>
          <w:p w14:paraId="636DEC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支持通过客户端、Web等多软件端进行操作支持。</w:t>
            </w:r>
          </w:p>
          <w:p w14:paraId="540F92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支持屏幕底图配置设置和更换。</w:t>
            </w:r>
          </w:p>
          <w:p w14:paraId="755E46E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支持开机logo配置。</w:t>
            </w:r>
          </w:p>
          <w:p w14:paraId="241844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支持屏幕除湿配置。</w:t>
            </w:r>
          </w:p>
          <w:p w14:paraId="6E5AD3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支持遥控器扩展，支持通过遥控器操作控制屏幕显示遥控UI菜单 。</w:t>
            </w:r>
          </w:p>
          <w:p w14:paraId="7502AEA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支持通过按键进行亮度调节等操作。</w:t>
            </w:r>
          </w:p>
          <w:p w14:paraId="4FC579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支持输出画面的亮度、对比度、色温等参数的调整。</w:t>
            </w:r>
          </w:p>
          <w:p w14:paraId="239DC66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支持对屏幕进行逐点校正配置有效消除色差，有效提高显示屏的画质。</w:t>
            </w:r>
          </w:p>
          <w:p w14:paraId="1D2F6D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支持常规、文稿、广告、视讯、影院、安防等显示模式切换。</w:t>
            </w:r>
          </w:p>
          <w:p w14:paraId="761BAFD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支持标准、暖色、冷色等色温模式调节同时可支持自定义色温调节。</w:t>
            </w:r>
          </w:p>
          <w:p w14:paraId="746BD0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支持护眼模式，有效保护观看者视力。</w:t>
            </w:r>
          </w:p>
          <w:p w14:paraId="389DDF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支持3840 Hz 高刷新率输出，纳秒级响应时间，视频画面更细腻流畅。</w:t>
            </w:r>
          </w:p>
          <w:p w14:paraId="60EB26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支持查看设备与LED屏幕的带载关系。</w:t>
            </w:r>
          </w:p>
          <w:p w14:paraId="1D92BE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支持查看运行过程中屏幕异常的定位。</w:t>
            </w:r>
          </w:p>
          <w:p w14:paraId="47CFBC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支持查看设备运行状态、设备内存、CPU使用率、设备运行温度和网口使用率等参数。</w:t>
            </w:r>
          </w:p>
          <w:p w14:paraId="147670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支持异常箱体电压检测、箱体温度检测、设备温度检测。</w:t>
            </w:r>
          </w:p>
          <w:p w14:paraId="47BAF94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支持通过RS485接口进行中控及物联网设备对接。</w:t>
            </w:r>
          </w:p>
          <w:p w14:paraId="15AE68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支持通过控制网口，通过网络SDK、ISAPI、OTAP等协议进行控制指令对接和设备管理。</w:t>
            </w:r>
          </w:p>
          <w:p w14:paraId="2B7A0D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支持通过控制网口链接多功能卡，实现环境温度检测、环境湿度检测、人体温度传感配合屏幕控制等功能。</w:t>
            </w:r>
          </w:p>
          <w:p w14:paraId="0DE5EE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内置安卓12系统，2G内存+8G存储空间，可支持多媒体内容的播放。</w:t>
            </w:r>
          </w:p>
          <w:p w14:paraId="5D22AE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支持通过U盘进行节目播放。</w:t>
            </w:r>
          </w:p>
          <w:p w14:paraId="690E45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支持1路 4K多媒体视频解码 或 6路1080P30Hz多媒体视频解码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8DE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E7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3B4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64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DCC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62C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CDC5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D4C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LED模组接收卡DC电源线*3</w:t>
            </w:r>
          </w:p>
          <w:p w14:paraId="07B9A4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LED模组级联短网线*15</w:t>
            </w:r>
          </w:p>
          <w:p w14:paraId="2A3654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LED模组电源级联AC电源线*12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89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F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6B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5B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6FE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19C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C35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DS-D40D10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0C1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控制方式：面板控制、电脑控制、电脑定时、中控控制</w:t>
            </w:r>
          </w:p>
          <w:p w14:paraId="03C5D2F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面板控制: 一键延时启停,紧急停止,模式切换，单键单元控制</w:t>
            </w:r>
          </w:p>
          <w:p w14:paraId="101514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电脑控制: 可一键延时启停，单路启停，紧急停止。对功率、温度、烟雾等状态实时检测,并保存操作记录,报警记录。</w:t>
            </w:r>
          </w:p>
          <w:p w14:paraId="441B2D2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电脑定时: 每天可设置最多4组时间段，按星期启停。定好时间后，支持脱机定时运行。</w:t>
            </w:r>
          </w:p>
          <w:p w14:paraId="77EC8A2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中控控制: 提供MODBUS-RTU、MODBUS-TCP、MODBUS-UDP协议</w:t>
            </w:r>
          </w:p>
          <w:p w14:paraId="20473C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自动联机，直接操作，不用人工设置</w:t>
            </w:r>
          </w:p>
          <w:p w14:paraId="73AA4A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保护内容：1）零线电缆高温保护  2）高温断电保护  3）短路保护  4）烟雾保护</w:t>
            </w:r>
          </w:p>
          <w:p w14:paraId="46DFE5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输入电压：380V</w:t>
            </w:r>
          </w:p>
          <w:p w14:paraId="6EB4E3A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输出电压：220V</w:t>
            </w:r>
          </w:p>
          <w:p w14:paraId="21FD88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额定功率：10KW</w:t>
            </w:r>
          </w:p>
          <w:p w14:paraId="1E0A77C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输出回路：3个单相回路（AC220V） </w:t>
            </w:r>
          </w:p>
          <w:p w14:paraId="39BECD8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每路输出最大带载功率：≤3.33KW</w:t>
            </w:r>
          </w:p>
          <w:p w14:paraId="789F4A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回路状态监测：单回路</w:t>
            </w:r>
          </w:p>
          <w:p w14:paraId="461EA4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远程控制：有</w:t>
            </w:r>
          </w:p>
          <w:p w14:paraId="3CC752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分步逐级上电：有</w:t>
            </w:r>
          </w:p>
          <w:p w14:paraId="4A84CF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计划任务上电：有</w:t>
            </w:r>
          </w:p>
          <w:p w14:paraId="6E2CE61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温度检测：有</w:t>
            </w:r>
          </w:p>
          <w:p w14:paraId="4AB6C7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壳体尺寸：400*300*130 单位mm</w:t>
            </w:r>
          </w:p>
          <w:p w14:paraId="24EBDE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逻辑联动控制：有</w:t>
            </w:r>
          </w:p>
          <w:p w14:paraId="5CAEDBA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主断路器：德力西32A断路器*1</w:t>
            </w:r>
          </w:p>
          <w:p w14:paraId="57C6E0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交流接触器：德力西32A交流接触器*1</w:t>
            </w:r>
          </w:p>
          <w:p w14:paraId="6F5553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子断路器：德力西32A微型1P断路器*3</w:t>
            </w:r>
          </w:p>
          <w:p w14:paraId="089BC6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控制回路断路器：德力西10A 1P+N微型漏电保护断路器*1</w:t>
            </w:r>
          </w:p>
          <w:p w14:paraId="54276D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零地排：8位铜排*1</w:t>
            </w:r>
          </w:p>
          <w:p w14:paraId="0C7BEE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PLC控制器：正松PLC-180控制器*1</w:t>
            </w:r>
          </w:p>
          <w:p w14:paraId="2734AE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PLC控制电源模块：正松DC24V电源*1</w:t>
            </w:r>
          </w:p>
          <w:p w14:paraId="5F24BB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串口服务器：485转USB头*1</w:t>
            </w:r>
          </w:p>
          <w:p w14:paraId="72C7AD1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总重量：12KG</w:t>
            </w:r>
          </w:p>
          <w:p w14:paraId="79D306F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380V供电总电缆：YJV-4*4mm²+2.5mm²</w:t>
            </w:r>
          </w:p>
          <w:p w14:paraId="339CE17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220V输出电缆：RVV3*2.5 mm²，最多接3根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2F1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04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42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2C0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CF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备品件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E9FF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C47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A22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同批次模组4张；电源2台；接收卡1张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5E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B09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D9E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AF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3219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钢结构及外装饰收边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59FC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9EA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LED室内焊接支架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FF85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LED室内焊接支架</w:t>
            </w:r>
          </w:p>
          <w:p w14:paraId="5B1272A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快速响应及进场</w:t>
            </w:r>
          </w:p>
          <w:p w14:paraId="46EB39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可实现交钥匙工程交付</w:t>
            </w:r>
          </w:p>
          <w:p w14:paraId="3FE7190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适用复杂场地、特殊异形项目、超大项目等</w:t>
            </w:r>
          </w:p>
          <w:p w14:paraId="24B39C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产品型号：LED室内焊接支架 </w:t>
            </w:r>
          </w:p>
          <w:p w14:paraId="0703083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产品配置：四周黑色不锈钢包边，钢结构支架 </w:t>
            </w:r>
          </w:p>
          <w:p w14:paraId="001FB4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重量（/m²）：20kg/m² </w:t>
            </w:r>
          </w:p>
          <w:p w14:paraId="494BC7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材质：Q235，钢材</w:t>
            </w:r>
          </w:p>
          <w:p w14:paraId="5C6087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备注说明：默认仅含支架及屏幕四周一圈黑色不锈钢包边，若需要布线、封板、旧屏拆除等请另行沟通费用</w:t>
            </w:r>
          </w:p>
          <w:p w14:paraId="487C4B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颜色：黑色 </w:t>
            </w:r>
          </w:p>
          <w:p w14:paraId="5371F3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厚度：最低100mm</w:t>
            </w:r>
          </w:p>
          <w:p w14:paraId="7E4909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表面处理：焊接节点喷涂防锈漆</w:t>
            </w:r>
          </w:p>
          <w:p w14:paraId="600311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弧度：建议两列箱体之间夹角2°以内</w:t>
            </w:r>
          </w:p>
          <w:p w14:paraId="23FB871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材料：Q235 </w:t>
            </w:r>
          </w:p>
          <w:p w14:paraId="108EFF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适用规模：不限 </w:t>
            </w:r>
          </w:p>
          <w:p w14:paraId="3AE4537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可定制范围：不限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E6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2E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r>
      <w:tr w14:paraId="6970B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29D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AAB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3D9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8599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DS-D4118CA-1PM_室内LED标准服务包（除新疆、西藏）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FA1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1、图纸方案</w:t>
            </w:r>
          </w:p>
          <w:p w14:paraId="78F773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2、海康支架安装</w:t>
            </w:r>
          </w:p>
          <w:p w14:paraId="219CDAF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3、屏幕及发送卡安装</w:t>
            </w:r>
          </w:p>
          <w:p w14:paraId="3A7876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4、配电柜安装（不含380V强电接线）</w:t>
            </w:r>
          </w:p>
          <w:p w14:paraId="38A1D94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5、海康出货线缆布线（不含桥架、线管、穿墙打孔）</w:t>
            </w:r>
          </w:p>
          <w:p w14:paraId="023C095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6、系统调试</w:t>
            </w:r>
          </w:p>
          <w:p w14:paraId="67020C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7、使用培训</w:t>
            </w:r>
          </w:p>
          <w:p w14:paraId="0A6435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8、施工区域产生的垃圾清理（不含远距离车辆运输）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61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D6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7.99</w:t>
            </w:r>
          </w:p>
        </w:tc>
      </w:tr>
      <w:tr w14:paraId="4BBE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0A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0121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大屏配件HDMI铜线视频线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B2F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8FF4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9BF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级联电源线、短网线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812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9B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E10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9D7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905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HDMI光纤视频线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0FCF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139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LED模组电源级联AC电源线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E00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级联AC电源线成品线</w:t>
            </w:r>
          </w:p>
          <w:p w14:paraId="74D1D4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优质接头</w:t>
            </w:r>
          </w:p>
          <w:p w14:paraId="1292B1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纯铜材质</w:t>
            </w:r>
          </w:p>
          <w:p w14:paraId="6AC7FAA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O型冷压</w:t>
            </w:r>
          </w:p>
          <w:p w14:paraId="4FC144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安全稳定</w:t>
            </w:r>
          </w:p>
          <w:p w14:paraId="4445CC7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产品型号：LED-AC220V-S </w:t>
            </w:r>
          </w:p>
          <w:p w14:paraId="0810CB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导体材质：纯铜</w:t>
            </w:r>
          </w:p>
          <w:p w14:paraId="164FF33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导体线径：3*1.5mm²</w:t>
            </w:r>
          </w:p>
          <w:p w14:paraId="51277E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额定电流：10A</w:t>
            </w:r>
          </w:p>
          <w:p w14:paraId="38B5B0E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接插端子：3*OT1-4转3*UT1-4</w:t>
            </w:r>
          </w:p>
          <w:p w14:paraId="6636E21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长度尺寸：800mm</w:t>
            </w:r>
          </w:p>
          <w:p w14:paraId="7F933E7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颜色区分：黑</w:t>
            </w:r>
          </w:p>
          <w:p w14:paraId="6DA02E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包装方式：1捆5根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2BD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523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1CD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E6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D2D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会议系统专用全频音箱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9D8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83D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DS-65AUH100(B)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9D6C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音频输入：模拟音频信号输入</w:t>
            </w:r>
          </w:p>
          <w:p w14:paraId="6EE0D8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额定阻抗：8Ω</w:t>
            </w:r>
          </w:p>
          <w:p w14:paraId="01D68E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额定功率：150W</w:t>
            </w:r>
          </w:p>
          <w:p w14:paraId="17EAC84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峰值功率：600W</w:t>
            </w:r>
          </w:p>
          <w:p w14:paraId="15E7A1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灵敏度：90dB@1m/1W</w:t>
            </w:r>
          </w:p>
          <w:p w14:paraId="433863F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覆盖角度：水平扩散角160° 垂直辐射角：Normal 25°（默认），Wide 30°</w:t>
            </w:r>
          </w:p>
          <w:p w14:paraId="3978340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最大声压级：117dB@1m</w:t>
            </w:r>
          </w:p>
          <w:p w14:paraId="6820FB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频率响应：100Hz~18 KHz</w:t>
            </w:r>
          </w:p>
          <w:p w14:paraId="4D7A1A4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总谐波失真：＜5%</w:t>
            </w:r>
          </w:p>
          <w:p w14:paraId="534B6C8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连接方式：欧姆头 凤凰端子3Pin</w:t>
            </w:r>
          </w:p>
          <w:p w14:paraId="4D48470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产品重量：8.3 kg</w:t>
            </w:r>
          </w:p>
          <w:p w14:paraId="5108C3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材质：音箱箱体材料：铝合金 前网材料：钢</w:t>
            </w:r>
          </w:p>
          <w:p w14:paraId="4753CD9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颜色：黑色/白色</w:t>
            </w:r>
          </w:p>
          <w:p w14:paraId="3F75A2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安装方式：挂壁式安装</w:t>
            </w:r>
          </w:p>
          <w:p w14:paraId="2BCF47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选购配件：L型安装支架</w:t>
            </w:r>
          </w:p>
          <w:p w14:paraId="6D8159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产品尺寸：920 × 103 × 141 mm</w:t>
            </w:r>
          </w:p>
          <w:p w14:paraId="4239756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包装尺寸：1055 × 220 × 255 mm</w:t>
            </w:r>
          </w:p>
          <w:p w14:paraId="0BAB1AC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工作温度和湿度：-10~50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B54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135D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196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D17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C92C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双通道专业数字功放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CED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5FE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DS-QAPA2012-2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F19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额定功率：8Ω/立体声：2×250W 4Ω/立体声：2×425W 2Ω/立体声：2×720W 16Ω/桥接：1×500W 8Ω/桥接：1×850W 4Ω/桥接：1×1440W</w:t>
            </w:r>
          </w:p>
          <w:p w14:paraId="24BC6E8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输入灵敏度（额定功率8 Ω）：0.80V/1.12V/1.59V2.24V</w:t>
            </w:r>
          </w:p>
          <w:p w14:paraId="149D97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总谐波失真THD：典型值：0.05%（10%额定输出功率，8Ω）</w:t>
            </w:r>
          </w:p>
          <w:p w14:paraId="48A53DE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阻尼系数：≥1000(20Hz-200Hz,8Ω)</w:t>
            </w:r>
          </w:p>
          <w:p w14:paraId="5D16DA3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输出电源：90-260VAC,50/60Hz</w:t>
            </w:r>
          </w:p>
          <w:p w14:paraId="0BCCFFB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频率响应：典型值：+0，-0.5%（10%额定输出功率，20Hz-20kHz，8Ω）</w:t>
            </w:r>
          </w:p>
          <w:p w14:paraId="658C61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输入阻抗：20kΩ（平衡），10kΩ（非平衡）</w:t>
            </w:r>
          </w:p>
          <w:p w14:paraId="106E9D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信噪比（A记权）：≥105dB(默认增益，A计权，20Hz-200Hz,8Ω)</w:t>
            </w:r>
          </w:p>
          <w:p w14:paraId="270CDB4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最大输入电平：14V</w:t>
            </w:r>
          </w:p>
          <w:p w14:paraId="10B086C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RMS输出电压：44.7</w:t>
            </w:r>
          </w:p>
          <w:p w14:paraId="11E25D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产品尺寸：483×44×370mm</w:t>
            </w:r>
          </w:p>
          <w:p w14:paraId="4AA3DBC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净重：9kg</w:t>
            </w:r>
          </w:p>
          <w:p w14:paraId="285F59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模式开关：桥接模式，并接模式，立体声模式,增益选择，限幅开关</w:t>
            </w:r>
          </w:p>
          <w:p w14:paraId="1232CFB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整机接口：XLR两路输入，XLR两路连接输出，SPEAKON两路输出</w:t>
            </w:r>
          </w:p>
          <w:p w14:paraId="476C362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保护功能：电源欠压保护、功放输出直流保护、过热保护、温度功率控制、过载功率控制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714C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8081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7D7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66F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D87E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59B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C4B5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ZJB01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8CA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音箱壁挂托架</w:t>
            </w:r>
          </w:p>
          <w:p w14:paraId="338C5C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承重：≤35KG</w:t>
            </w:r>
          </w:p>
          <w:p w14:paraId="2E15CAD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安装速度快、钢材安全耐用</w:t>
            </w:r>
          </w:p>
          <w:p w14:paraId="692AD7F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水平角度：-90°~+90°</w:t>
            </w:r>
          </w:p>
          <w:p w14:paraId="4A89305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垂直角度：-5°~+30°</w:t>
            </w:r>
          </w:p>
          <w:p w14:paraId="71585B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ZJB01具有安装速度快、安全耐用等优点。</w:t>
            </w:r>
          </w:p>
          <w:p w14:paraId="27E154D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适用于市面上带底座孔的音箱 ：8英寸，10英寸，12英寸...等等。</w:t>
            </w:r>
          </w:p>
          <w:p w14:paraId="0577913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离墙安装距离：200mm\ 230mm\260mm\292mm\323mm</w:t>
            </w:r>
          </w:p>
          <w:p w14:paraId="0E652A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尺寸：363 x 80 x 180 mm(长x宽x高)</w:t>
            </w:r>
          </w:p>
          <w:p w14:paraId="016978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重量：1.69Kg</w:t>
            </w:r>
          </w:p>
          <w:p w14:paraId="469574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材质：钢板、钢管</w:t>
            </w:r>
          </w:p>
          <w:p w14:paraId="1920DB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颜色：黑色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1046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D30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A9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149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A09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E51B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FF2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DS-QA2PD040801-N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DA1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阻抗：20kΩ</w:t>
            </w:r>
          </w:p>
          <w:p w14:paraId="668C760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采样率：48KHz@24bit</w:t>
            </w:r>
          </w:p>
          <w:p w14:paraId="393D21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总谐波失真THD：≤0.003%@1kHz,4dBu</w:t>
            </w:r>
          </w:p>
          <w:p w14:paraId="7F7EB9B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阻抗：100Ω</w:t>
            </w:r>
          </w:p>
          <w:p w14:paraId="5BACDFA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系统延时：≤9ms</w:t>
            </w:r>
          </w:p>
          <w:p w14:paraId="0AB78C8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通道数量：GPIO接口8个，可自由配置输入输出</w:t>
            </w:r>
          </w:p>
          <w:p w14:paraId="5475B74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网络：1</w:t>
            </w:r>
          </w:p>
          <w:p w14:paraId="0FB282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音频输入：4路</w:t>
            </w:r>
          </w:p>
          <w:p w14:paraId="64B15E6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音频输出：4路</w:t>
            </w:r>
          </w:p>
          <w:p w14:paraId="1910352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USB：1 USB Type A</w:t>
            </w:r>
          </w:p>
          <w:p w14:paraId="15D4B5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RS232：1</w:t>
            </w:r>
          </w:p>
          <w:p w14:paraId="0FEE30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RS485：1</w:t>
            </w:r>
          </w:p>
          <w:p w14:paraId="16E051E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幻象电源：48V</w:t>
            </w:r>
          </w:p>
          <w:p w14:paraId="76C1F1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安装方式：1U,19”,机架安装</w:t>
            </w:r>
          </w:p>
          <w:p w14:paraId="35419F2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产品尺寸：482x258x45mm</w:t>
            </w:r>
          </w:p>
          <w:p w14:paraId="74A45B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包装尺寸：590×430×110mm</w:t>
            </w:r>
          </w:p>
          <w:p w14:paraId="51942AF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带包装重量：3KG</w:t>
            </w:r>
          </w:p>
          <w:p w14:paraId="27DFEF8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工作温度和湿度：0-40℃，10%〜90% 不可结露</w:t>
            </w:r>
          </w:p>
          <w:p w14:paraId="57209D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频率响应：20Hz～20KHz,±0.2dB</w:t>
            </w:r>
          </w:p>
          <w:p w14:paraId="4321C77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最大输出电平：18dBu</w:t>
            </w:r>
          </w:p>
          <w:p w14:paraId="2D7673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最大输入电平：18dBu</w:t>
            </w:r>
          </w:p>
          <w:p w14:paraId="6612DEF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模/数动态范围：120dB</w:t>
            </w:r>
          </w:p>
          <w:p w14:paraId="6D130F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数/模动态范围：114dB</w:t>
            </w:r>
          </w:p>
          <w:p w14:paraId="22F660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通道隔离度：100dB@1KHz,4dBu</w:t>
            </w:r>
          </w:p>
          <w:p w14:paraId="4BABC65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EIN（A计权）：≤-125dBu</w:t>
            </w:r>
          </w:p>
          <w:p w14:paraId="2AC706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共模抑制：70dB@50Hz</w:t>
            </w:r>
          </w:p>
          <w:p w14:paraId="2B48C79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本底噪声：-90dBu</w:t>
            </w:r>
          </w:p>
          <w:p w14:paraId="40AB0C9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工作电源：AC 110V-220V,50Hz/60Hz</w:t>
            </w:r>
          </w:p>
          <w:p w14:paraId="0C9865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电源功耗：&lt;20W</w:t>
            </w:r>
          </w:p>
          <w:p w14:paraId="5F7FC77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产品重量：2.5KG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220E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84A8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1CE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78D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348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调音台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F9E9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5D5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DS-QA4PAM0801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B3F5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频率响应：麦克风输入至主输出： &lt;10Hz～90kHz：-0dB/-1dB &lt;10Hz～160kHz：+0dB/-3dB 立体声输入：6.3mm 立体声道，平衡式；20kQ；+22dBu；80Hz/±15dB EQ单通道： 低：80Hz/±15dB 中：100Hz～8kHz/±15dB 高：12kHz/±15dB EQ立体声通道 低：80Hz/±15dB 中：2kHz/±15dB 高：12kHz/±15dB</w:t>
            </w:r>
          </w:p>
          <w:p w14:paraId="4C1B855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音频输出：主输出：XLR平衡式；240Ω平衡/120Ω非平衡式；+22dBu 耳机输出：6.3mm 立体声道，+19dBu 150Ω(+25dBm)</w:t>
            </w:r>
          </w:p>
          <w:p w14:paraId="696F5E8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工作电源：230V~50/60Hz 标准IEC插座</w:t>
            </w:r>
          </w:p>
          <w:p w14:paraId="14F4B4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电源功耗：35W</w:t>
            </w:r>
          </w:p>
          <w:p w14:paraId="76DB729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麦克风：麦克风输入 E.I.N.(20Hz-20kHz) 类型：XLR电子平衡、离散输入电路 @0Ω源电阻：-134dB/135.7dB A-加权的 @50Ω源电阻：-131dB/133.3dB A-加权的 @150Ω源电阻：-129dB/130.5dB A-加权的 频率响应：&lt;10Hz～150kHz(-1dB) &lt;10Hz～200kHz(-3dB） 增益：+10dB～+60dB 最大输入：+12dBu@+10dB Gain 阻抗：2.6kΩ 信噪比：110dB/112dB 0dBu In @+22dB gain) 失真度：0.005%/0.004% 类型：6.3mm立体声道，平衡式 阻抗：平衡输出：20kΩ 非平衡输出：10kQ 增益：-10dB～+40dB 最大输入：+22dBu@OdB Gain</w:t>
            </w:r>
          </w:p>
          <w:p w14:paraId="60716B5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信号衰减：主推子关闭：90dB 频道静音：89dB 通道推子关闭：89dB</w:t>
            </w:r>
          </w:p>
          <w:p w14:paraId="269E4AA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辅助发送：6.3mm 单声道非平衡；120Ω；+22dBu</w:t>
            </w:r>
          </w:p>
          <w:p w14:paraId="4598102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Sub编组发送：6.3mm 单声道非平衡；120Ω；+22dBu</w:t>
            </w:r>
          </w:p>
          <w:p w14:paraId="0DDAD8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噪声：主混音@-∞：-101dB 通道推子@-∞：-100dB 主混音@0dB： -93dB 通道推子@-∞：-96dB 主混音@0dB：-81dB 通道推子@0dB：-83dB</w:t>
            </w:r>
          </w:p>
          <w:p w14:paraId="44FBEA7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材质：冷轧板、塑料</w:t>
            </w:r>
          </w:p>
          <w:p w14:paraId="3ECE13F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颜色：PANTONE BLACK 6C</w:t>
            </w:r>
          </w:p>
          <w:p w14:paraId="1896AA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安装方式：整体式安装</w:t>
            </w:r>
          </w:p>
          <w:p w14:paraId="49192F0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产品尺寸：360x493.5x88mm</w:t>
            </w:r>
          </w:p>
          <w:p w14:paraId="7ED0B20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包装尺寸：570*435*175mm</w:t>
            </w:r>
          </w:p>
          <w:p w14:paraId="57D1CD1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净重：4.45kg</w:t>
            </w:r>
          </w:p>
          <w:p w14:paraId="1F18B0B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带包装重量：4.5kg</w:t>
            </w:r>
          </w:p>
          <w:p w14:paraId="00DD66F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工作温度和湿度：环境温度：-10～40℃、相对湿度：≤90%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B1CA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CF7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5F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CBD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9E7C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FFA7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D39F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74FD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F0EC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67C3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010F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5F6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27D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3.5转双莲花音频线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15F5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23AB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F65F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RVVP2*0.3两芯带屏蔽音频线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6CA3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97B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14:paraId="2935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5E2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E59D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7DCB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凯诚致远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BBF5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AF52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BF74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E309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r>
      <w:tr w14:paraId="481F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F2A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ABD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B5D3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0694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7FDD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B9FB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E753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r>
      <w:tr w14:paraId="612E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3A4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5755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0A96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7A5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300x530x400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A2DE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3DE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219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B9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D8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83A5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多媒体地插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E993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MSHML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D809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57DAE">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一个电源、一个HDMI、一个3.5音频、一个网络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A458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FA7B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965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2B2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电视机</w:t>
            </w:r>
          </w:p>
        </w:tc>
      </w:tr>
      <w:tr w14:paraId="319B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0E42790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166117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超高清电视</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1DC957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30E81D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DS-D5T86NB/A</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637916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LED显示、85英寸、四核A55、3GB运行内存、64GB存储内存；USB口*2、HDMI2.1口*2，无摄像头，重26.5kg,1890*1086*94mm</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A80C78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42C9011">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149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D86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CC47">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21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秋叶原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76B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F96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5米HDMI高清视频链接线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90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FF4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B2BC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4DB4">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B6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2B5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FED8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DS-D5ABKY2B-B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E4A4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双立柱移动推车，适用55-100英寸，调节高度1200-1700mm,产品承重200KG，高品质冷轧钢，支持孔距800*600mm以内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F339">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20A0">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44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2FF3F">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E372C">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多媒体地插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CF53A">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MSHML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3E2C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6DC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一个电源、一个HDMI、一个3.5音频、一个网络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F9CC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1EAD6">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bl>
    <w:p w14:paraId="28CFDA20">
      <w:pPr>
        <w:pStyle w:val="3"/>
        <w:jc w:val="left"/>
        <w:rPr>
          <w:rFonts w:ascii="宋体" w:hAnsi="宋体" w:cs="宋体"/>
          <w:sz w:val="28"/>
          <w:szCs w:val="28"/>
        </w:rPr>
      </w:pPr>
      <w:r>
        <w:rPr>
          <w:rFonts w:hint="eastAsia" w:ascii="宋体" w:hAnsi="宋体" w:cs="宋体"/>
          <w:sz w:val="28"/>
          <w:szCs w:val="28"/>
        </w:rPr>
        <w:t>三、</w:t>
      </w:r>
      <w:bookmarkEnd w:id="30"/>
      <w:r>
        <w:rPr>
          <w:rFonts w:hint="eastAsia" w:ascii="宋体" w:hAnsi="宋体" w:cs="宋体"/>
          <w:sz w:val="28"/>
          <w:szCs w:val="28"/>
        </w:rPr>
        <w:t>项目服务要求</w:t>
      </w:r>
    </w:p>
    <w:bookmarkEnd w:id="31"/>
    <w:p w14:paraId="2ECE2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val="en-US" w:eastAsia="zh-CN"/>
        </w:rPr>
      </w:pPr>
      <w:r>
        <w:rPr>
          <w:rFonts w:hint="eastAsia"/>
          <w:sz w:val="24"/>
          <w:szCs w:val="22"/>
          <w:lang w:val="en-US" w:eastAsia="zh-CN"/>
        </w:rPr>
        <w:t>投标人提供的产品应符合国家及行业现行质量标准，具备产品合格证、质检报告等证明文件。</w:t>
      </w:r>
    </w:p>
    <w:p w14:paraId="484F55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val="en-US" w:eastAsia="zh-CN"/>
        </w:rPr>
      </w:pPr>
      <w:r>
        <w:rPr>
          <w:rFonts w:hint="eastAsia"/>
          <w:sz w:val="24"/>
          <w:szCs w:val="22"/>
          <w:lang w:val="en-US" w:eastAsia="zh-CN"/>
        </w:rPr>
        <w:t>产品质保期为1年，自验收合格之日起计算。质保期内，因产品自身质量问题导致的故障，投标人应免费维修或更换。</w:t>
      </w:r>
    </w:p>
    <w:p w14:paraId="0A94FEF2">
      <w:pPr>
        <w:pStyle w:val="3"/>
        <w:jc w:val="left"/>
        <w:rPr>
          <w:rFonts w:ascii="宋体" w:hAnsi="宋体" w:cs="宋体"/>
          <w:sz w:val="28"/>
          <w:szCs w:val="28"/>
        </w:rPr>
      </w:pPr>
      <w:r>
        <w:rPr>
          <w:rFonts w:hint="eastAsia" w:ascii="宋体" w:hAnsi="宋体" w:cs="宋体"/>
          <w:sz w:val="28"/>
          <w:szCs w:val="28"/>
        </w:rPr>
        <w:t>四、项目预算</w:t>
      </w:r>
    </w:p>
    <w:p w14:paraId="5B078FD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top"/>
        <w:rPr>
          <w:rFonts w:ascii="宋体" w:hAnsi="宋体"/>
          <w:sz w:val="24"/>
          <w:szCs w:val="24"/>
        </w:rPr>
      </w:pPr>
      <w:r>
        <w:rPr>
          <w:rFonts w:hint="eastAsia" w:cs="宋体" w:asciiTheme="minorEastAsia" w:hAnsiTheme="minorEastAsia" w:eastAsiaTheme="minorEastAsia"/>
          <w:sz w:val="24"/>
          <w:szCs w:val="24"/>
        </w:rPr>
        <w:t>本项目（含税）最高限价为人</w:t>
      </w:r>
      <w:r>
        <w:rPr>
          <w:rFonts w:hint="eastAsia" w:cs="宋体" w:asciiTheme="minorEastAsia" w:hAnsiTheme="minorEastAsia" w:eastAsiaTheme="minorEastAsia"/>
          <w:sz w:val="24"/>
          <w:szCs w:val="24"/>
          <w:highlight w:val="none"/>
        </w:rPr>
        <w:t>民币871,852.00元（报</w:t>
      </w:r>
      <w:r>
        <w:rPr>
          <w:rFonts w:hint="eastAsia" w:cs="宋体" w:asciiTheme="minorEastAsia" w:hAnsiTheme="minorEastAsia" w:eastAsiaTheme="minorEastAsia"/>
          <w:sz w:val="24"/>
          <w:szCs w:val="24"/>
        </w:rPr>
        <w:t>价不得超过最高限价），中选（成交）供应商需根据实际成交价提供</w:t>
      </w:r>
      <w:r>
        <w:rPr>
          <w:rFonts w:hint="eastAsia" w:cs="宋体" w:asciiTheme="minorEastAsia" w:hAnsiTheme="minorEastAsia" w:eastAsiaTheme="minorEastAsia"/>
          <w:sz w:val="24"/>
          <w:szCs w:val="24"/>
          <w:lang w:val="en-US" w:eastAsia="zh-CN"/>
        </w:rPr>
        <w:t>13</w:t>
      </w:r>
      <w:r>
        <w:rPr>
          <w:rFonts w:hint="eastAsia" w:cs="宋体" w:asciiTheme="minorEastAsia" w:hAnsiTheme="minorEastAsia" w:eastAsiaTheme="minorEastAsia"/>
          <w:sz w:val="24"/>
          <w:szCs w:val="24"/>
        </w:rPr>
        <w:t>%增值税专用发票。</w:t>
      </w:r>
      <w:r>
        <w:rPr>
          <w:rFonts w:hint="eastAsia" w:ascii="宋体" w:hAnsi="宋体"/>
          <w:sz w:val="24"/>
          <w:szCs w:val="24"/>
        </w:rPr>
        <w:t>项目总价采取总价包干的方式，所有价格变动的风险均由</w:t>
      </w:r>
      <w:r>
        <w:rPr>
          <w:rFonts w:hint="eastAsia" w:cs="宋体" w:asciiTheme="minorEastAsia" w:hAnsiTheme="minorEastAsia" w:eastAsiaTheme="minorEastAsia"/>
          <w:sz w:val="24"/>
          <w:szCs w:val="24"/>
        </w:rPr>
        <w:t>中选（成交）供应商</w:t>
      </w:r>
      <w:r>
        <w:rPr>
          <w:rFonts w:hint="eastAsia" w:ascii="宋体" w:hAnsi="宋体"/>
          <w:sz w:val="24"/>
          <w:szCs w:val="24"/>
        </w:rPr>
        <w:t>承担。采购人不需向</w:t>
      </w:r>
      <w:r>
        <w:rPr>
          <w:rFonts w:hint="eastAsia" w:cs="宋体" w:asciiTheme="minorEastAsia" w:hAnsiTheme="minorEastAsia" w:eastAsiaTheme="minorEastAsia"/>
          <w:sz w:val="24"/>
          <w:szCs w:val="24"/>
        </w:rPr>
        <w:t>中选（成交）供应商</w:t>
      </w:r>
      <w:r>
        <w:rPr>
          <w:rFonts w:hint="eastAsia" w:ascii="宋体" w:hAnsi="宋体"/>
          <w:sz w:val="24"/>
          <w:szCs w:val="24"/>
        </w:rPr>
        <w:t>支付项目总价外的费用。</w:t>
      </w:r>
    </w:p>
    <w:p w14:paraId="2D8C3ABA">
      <w:pPr>
        <w:pStyle w:val="3"/>
        <w:jc w:val="left"/>
        <w:rPr>
          <w:rFonts w:ascii="宋体" w:hAnsi="宋体" w:cs="宋体"/>
          <w:sz w:val="28"/>
          <w:szCs w:val="28"/>
        </w:rPr>
      </w:pPr>
      <w:r>
        <w:rPr>
          <w:rFonts w:hint="eastAsia" w:ascii="宋体" w:hAnsi="宋体" w:cs="宋体"/>
          <w:sz w:val="28"/>
          <w:szCs w:val="28"/>
        </w:rPr>
        <w:t>五、费用支付方式</w:t>
      </w:r>
    </w:p>
    <w:p w14:paraId="65E928C9">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付款分两期支付：</w:t>
      </w:r>
    </w:p>
    <w:p w14:paraId="42497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sz w:val="24"/>
          <w:szCs w:val="22"/>
        </w:rPr>
        <w:t>第一期：合同签订生效后，在采购人收到中选（成交）供应商提供</w:t>
      </w:r>
      <w:r>
        <w:rPr>
          <w:rFonts w:hint="eastAsia"/>
          <w:sz w:val="24"/>
          <w:szCs w:val="22"/>
          <w:lang w:eastAsia="zh-CN"/>
        </w:rPr>
        <w:t>国家财务规定的发票</w:t>
      </w:r>
      <w:r>
        <w:rPr>
          <w:sz w:val="24"/>
          <w:szCs w:val="22"/>
        </w:rPr>
        <w:t>的</w:t>
      </w:r>
      <w:r>
        <w:rPr>
          <w:rFonts w:hint="eastAsia"/>
          <w:sz w:val="24"/>
          <w:szCs w:val="22"/>
          <w:lang w:val="en-US" w:eastAsia="zh-CN"/>
        </w:rPr>
        <w:t>5</w:t>
      </w:r>
      <w:r>
        <w:rPr>
          <w:sz w:val="24"/>
          <w:szCs w:val="22"/>
        </w:rPr>
        <w:t>个</w:t>
      </w:r>
      <w:r>
        <w:rPr>
          <w:rFonts w:hint="eastAsia"/>
          <w:sz w:val="24"/>
          <w:szCs w:val="22"/>
          <w:lang w:eastAsia="zh-CN"/>
        </w:rPr>
        <w:t>日历</w:t>
      </w:r>
      <w:r>
        <w:rPr>
          <w:sz w:val="24"/>
          <w:szCs w:val="22"/>
        </w:rPr>
        <w:t>日内，采购人将实际成交价的</w:t>
      </w:r>
      <w:r>
        <w:rPr>
          <w:rFonts w:hint="eastAsia"/>
          <w:sz w:val="24"/>
          <w:szCs w:val="22"/>
          <w:lang w:val="en-US" w:eastAsia="zh-CN"/>
        </w:rPr>
        <w:t>3</w:t>
      </w:r>
      <w:r>
        <w:rPr>
          <w:sz w:val="24"/>
          <w:szCs w:val="22"/>
        </w:rPr>
        <w:t>0%支付给中选（成交）供应商。</w:t>
      </w:r>
    </w:p>
    <w:p w14:paraId="4BD5D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sz w:val="24"/>
          <w:szCs w:val="22"/>
        </w:rPr>
        <w:t>第二期：</w:t>
      </w:r>
      <w:r>
        <w:rPr>
          <w:rFonts w:hint="eastAsia"/>
          <w:sz w:val="24"/>
          <w:szCs w:val="22"/>
        </w:rPr>
        <w:t>本</w:t>
      </w:r>
      <w:r>
        <w:rPr>
          <w:rFonts w:hint="eastAsia"/>
          <w:sz w:val="24"/>
          <w:szCs w:val="22"/>
          <w:lang w:eastAsia="zh-CN"/>
        </w:rPr>
        <w:t>项目</w:t>
      </w:r>
      <w:r>
        <w:rPr>
          <w:rFonts w:hint="eastAsia"/>
          <w:sz w:val="24"/>
          <w:szCs w:val="22"/>
          <w:lang w:eastAsia="zh-Hans"/>
        </w:rPr>
        <w:t>产品到货且经</w:t>
      </w:r>
      <w:r>
        <w:rPr>
          <w:sz w:val="24"/>
          <w:szCs w:val="22"/>
        </w:rPr>
        <w:t>采购人</w:t>
      </w:r>
      <w:r>
        <w:rPr>
          <w:rFonts w:hint="eastAsia"/>
          <w:sz w:val="24"/>
          <w:szCs w:val="22"/>
          <w:lang w:eastAsia="zh-Hans"/>
        </w:rPr>
        <w:t>确认后，</w:t>
      </w:r>
      <w:r>
        <w:rPr>
          <w:sz w:val="24"/>
          <w:szCs w:val="22"/>
        </w:rPr>
        <w:t>中选（成交）供应商</w:t>
      </w:r>
      <w:r>
        <w:rPr>
          <w:rFonts w:hint="eastAsia"/>
          <w:sz w:val="24"/>
          <w:szCs w:val="22"/>
          <w:lang w:eastAsia="zh-Hans"/>
        </w:rPr>
        <w:t>向</w:t>
      </w:r>
      <w:r>
        <w:rPr>
          <w:sz w:val="24"/>
          <w:szCs w:val="22"/>
        </w:rPr>
        <w:t>采购人</w:t>
      </w:r>
      <w:r>
        <w:rPr>
          <w:rFonts w:hint="eastAsia"/>
          <w:sz w:val="24"/>
          <w:szCs w:val="22"/>
          <w:lang w:eastAsia="zh-Hans"/>
        </w:rPr>
        <w:t>提供符合国家财务规定的发票和申请付款手续</w:t>
      </w:r>
      <w:r>
        <w:rPr>
          <w:rFonts w:hint="eastAsia"/>
          <w:sz w:val="24"/>
          <w:szCs w:val="22"/>
          <w:lang w:val="en-US" w:eastAsia="zh-CN"/>
        </w:rPr>
        <w:t>5</w:t>
      </w:r>
      <w:r>
        <w:rPr>
          <w:rFonts w:hint="eastAsia"/>
          <w:sz w:val="24"/>
          <w:szCs w:val="22"/>
        </w:rPr>
        <w:t>个</w:t>
      </w:r>
      <w:r>
        <w:rPr>
          <w:rFonts w:hint="eastAsia"/>
          <w:sz w:val="24"/>
          <w:szCs w:val="22"/>
          <w:lang w:eastAsia="zh-CN"/>
        </w:rPr>
        <w:t>日历</w:t>
      </w:r>
      <w:r>
        <w:rPr>
          <w:rFonts w:hint="eastAsia"/>
          <w:sz w:val="24"/>
          <w:szCs w:val="22"/>
        </w:rPr>
        <w:t>日内，</w:t>
      </w:r>
      <w:r>
        <w:rPr>
          <w:sz w:val="24"/>
          <w:szCs w:val="22"/>
        </w:rPr>
        <w:t>采购人</w:t>
      </w:r>
      <w:r>
        <w:rPr>
          <w:rFonts w:hint="eastAsia"/>
          <w:sz w:val="24"/>
          <w:szCs w:val="22"/>
          <w:lang w:eastAsia="zh-Hans"/>
        </w:rPr>
        <w:t>向</w:t>
      </w:r>
      <w:r>
        <w:rPr>
          <w:sz w:val="24"/>
          <w:szCs w:val="22"/>
        </w:rPr>
        <w:t>中选（成交）供应商</w:t>
      </w:r>
      <w:r>
        <w:rPr>
          <w:rFonts w:hint="eastAsia"/>
          <w:sz w:val="24"/>
          <w:szCs w:val="22"/>
          <w:lang w:eastAsia="zh-Hans"/>
        </w:rPr>
        <w:t>支付项目合同总金额</w:t>
      </w:r>
      <w:r>
        <w:rPr>
          <w:rFonts w:hint="eastAsia"/>
          <w:sz w:val="24"/>
          <w:szCs w:val="22"/>
          <w:lang w:val="en-US" w:eastAsia="zh-CN"/>
        </w:rPr>
        <w:t>至7</w:t>
      </w:r>
      <w:r>
        <w:rPr>
          <w:rFonts w:hint="eastAsia"/>
          <w:sz w:val="24"/>
          <w:szCs w:val="22"/>
          <w:lang w:eastAsia="zh-Hans"/>
        </w:rPr>
        <w:t>0%</w:t>
      </w:r>
      <w:r>
        <w:rPr>
          <w:rFonts w:hint="eastAsia"/>
          <w:sz w:val="24"/>
          <w:szCs w:val="22"/>
          <w:lang w:eastAsia="zh-CN"/>
        </w:rPr>
        <w:t>。</w:t>
      </w:r>
    </w:p>
    <w:p w14:paraId="57AF6E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2"/>
          <w:lang w:eastAsia="zh-CN"/>
        </w:rPr>
      </w:pPr>
      <w:r>
        <w:rPr>
          <w:rFonts w:hint="eastAsia"/>
          <w:sz w:val="24"/>
          <w:szCs w:val="22"/>
          <w:lang w:eastAsia="zh-CN"/>
        </w:rPr>
        <w:t>第三期：本项目</w:t>
      </w:r>
      <w:r>
        <w:rPr>
          <w:rFonts w:hint="eastAsia"/>
          <w:sz w:val="24"/>
          <w:szCs w:val="22"/>
          <w:lang w:eastAsia="zh-Hans"/>
        </w:rPr>
        <w:t>产品</w:t>
      </w:r>
      <w:r>
        <w:rPr>
          <w:rFonts w:hint="eastAsia"/>
          <w:sz w:val="24"/>
          <w:szCs w:val="22"/>
          <w:lang w:eastAsia="zh-CN"/>
        </w:rPr>
        <w:t>到货确认后15个日历日内，</w:t>
      </w:r>
      <w:r>
        <w:rPr>
          <w:sz w:val="24"/>
          <w:szCs w:val="22"/>
        </w:rPr>
        <w:t>采购人</w:t>
      </w:r>
      <w:r>
        <w:rPr>
          <w:rFonts w:hint="eastAsia"/>
          <w:sz w:val="24"/>
          <w:szCs w:val="22"/>
          <w:lang w:eastAsia="zh-CN"/>
        </w:rPr>
        <w:t>和</w:t>
      </w:r>
      <w:r>
        <w:rPr>
          <w:sz w:val="24"/>
          <w:szCs w:val="22"/>
        </w:rPr>
        <w:t>中选（成交）供应商</w:t>
      </w:r>
      <w:r>
        <w:rPr>
          <w:rFonts w:hint="eastAsia"/>
          <w:sz w:val="24"/>
          <w:szCs w:val="22"/>
          <w:lang w:eastAsia="zh-CN"/>
        </w:rPr>
        <w:t>双方组织在收到货物后15个日历日</w:t>
      </w:r>
      <w:r>
        <w:rPr>
          <w:rFonts w:hint="eastAsia"/>
          <w:sz w:val="24"/>
          <w:szCs w:val="22"/>
          <w:lang w:val="en-US" w:eastAsia="zh-CN"/>
        </w:rPr>
        <w:t>内</w:t>
      </w:r>
      <w:r>
        <w:rPr>
          <w:rFonts w:hint="eastAsia"/>
          <w:sz w:val="24"/>
          <w:szCs w:val="22"/>
          <w:lang w:eastAsia="zh-CN"/>
        </w:rPr>
        <w:t>验收。验收合格且</w:t>
      </w:r>
      <w:r>
        <w:rPr>
          <w:sz w:val="24"/>
          <w:szCs w:val="22"/>
        </w:rPr>
        <w:t>中选（成交）供应商</w:t>
      </w:r>
      <w:r>
        <w:rPr>
          <w:rFonts w:hint="eastAsia"/>
          <w:sz w:val="24"/>
          <w:szCs w:val="22"/>
          <w:lang w:eastAsia="zh-CN"/>
        </w:rPr>
        <w:t>向</w:t>
      </w:r>
      <w:r>
        <w:rPr>
          <w:sz w:val="24"/>
          <w:szCs w:val="22"/>
        </w:rPr>
        <w:t>采购人</w:t>
      </w:r>
      <w:r>
        <w:rPr>
          <w:rFonts w:hint="eastAsia"/>
          <w:sz w:val="24"/>
          <w:szCs w:val="22"/>
          <w:lang w:eastAsia="zh-CN"/>
        </w:rPr>
        <w:t>提供符合国家财务规定的发票后10个日历日内，</w:t>
      </w:r>
      <w:r>
        <w:rPr>
          <w:sz w:val="24"/>
          <w:szCs w:val="22"/>
        </w:rPr>
        <w:t>采购人</w:t>
      </w:r>
      <w:r>
        <w:rPr>
          <w:rFonts w:hint="eastAsia"/>
          <w:sz w:val="24"/>
          <w:szCs w:val="22"/>
          <w:lang w:eastAsia="zh-CN"/>
        </w:rPr>
        <w:t>将项目合同总金额的余下款项支付给</w:t>
      </w:r>
      <w:r>
        <w:rPr>
          <w:sz w:val="24"/>
          <w:szCs w:val="22"/>
        </w:rPr>
        <w:t>中选（成交）供应商</w:t>
      </w:r>
      <w:r>
        <w:rPr>
          <w:rFonts w:hint="eastAsia"/>
          <w:sz w:val="24"/>
          <w:szCs w:val="22"/>
          <w:lang w:eastAsia="zh-CN"/>
        </w:rPr>
        <w:t>。</w:t>
      </w:r>
    </w:p>
    <w:p w14:paraId="10D5ABD6">
      <w:pPr>
        <w:pStyle w:val="64"/>
      </w:pPr>
    </w:p>
    <w:p w14:paraId="6ADA8934">
      <w:pPr>
        <w:ind w:firstLine="420" w:firstLineChars="200"/>
        <w:rPr>
          <w:rFonts w:ascii="宋体" w:hAnsi="宋体" w:cs="宋体"/>
          <w:bCs/>
          <w:szCs w:val="21"/>
        </w:rPr>
      </w:pPr>
      <w:r>
        <w:rPr>
          <w:rFonts w:hint="eastAsia" w:ascii="宋体" w:hAnsi="宋体" w:cs="宋体"/>
          <w:kern w:val="0"/>
          <w:szCs w:val="21"/>
        </w:rPr>
        <w:br w:type="page"/>
      </w:r>
    </w:p>
    <w:p w14:paraId="0C38843E">
      <w:pPr>
        <w:pStyle w:val="2"/>
        <w:jc w:val="center"/>
        <w:rPr>
          <w:rFonts w:ascii="宋体" w:hAnsi="宋体" w:cs="宋体"/>
          <w:b w:val="0"/>
          <w:sz w:val="32"/>
          <w:szCs w:val="32"/>
        </w:rPr>
      </w:pPr>
      <w:bookmarkStart w:id="32" w:name="_Toc4876"/>
      <w:bookmarkStart w:id="33" w:name="_Toc357696411"/>
      <w:bookmarkStart w:id="34" w:name="_Toc7234"/>
      <w:r>
        <w:rPr>
          <w:rFonts w:hint="eastAsia" w:ascii="宋体" w:hAnsi="宋体" w:cs="宋体"/>
          <w:b w:val="0"/>
          <w:sz w:val="32"/>
          <w:szCs w:val="32"/>
        </w:rPr>
        <w:t>第六章 响应文件格式</w:t>
      </w:r>
      <w:bookmarkEnd w:id="32"/>
      <w:bookmarkEnd w:id="33"/>
      <w:bookmarkEnd w:id="34"/>
    </w:p>
    <w:p w14:paraId="52EDFFE1">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4D0DDB70">
      <w:pPr>
        <w:widowControl/>
        <w:spacing w:before="100" w:after="156" w:afterLines="50" w:line="360" w:lineRule="auto"/>
        <w:jc w:val="right"/>
        <w:rPr>
          <w:rFonts w:ascii="宋体" w:hAnsi="宋体" w:cs="宋体"/>
          <w:color w:val="000000"/>
          <w:sz w:val="44"/>
          <w:szCs w:val="44"/>
        </w:rPr>
      </w:pPr>
    </w:p>
    <w:p w14:paraId="5CD355D6">
      <w:pPr>
        <w:spacing w:after="120" w:line="720" w:lineRule="exact"/>
        <w:jc w:val="center"/>
        <w:rPr>
          <w:rFonts w:hint="eastAsia" w:ascii="宋体" w:hAnsi="宋体" w:eastAsia="宋体" w:cs="宋体"/>
          <w:b/>
          <w:color w:val="000000"/>
          <w:sz w:val="52"/>
          <w:szCs w:val="44"/>
          <w:lang w:eastAsia="zh-CN"/>
        </w:rPr>
      </w:pPr>
      <w:r>
        <w:rPr>
          <w:rFonts w:hint="eastAsia" w:ascii="宋体" w:hAnsi="宋体" w:cs="宋体"/>
          <w:b/>
          <w:color w:val="000000"/>
          <w:sz w:val="52"/>
          <w:szCs w:val="44"/>
          <w:lang w:eastAsia="zh-CN"/>
        </w:rPr>
        <w:t>数字江门网络建设有限公司园区系统建设项目</w:t>
      </w:r>
    </w:p>
    <w:p w14:paraId="18EE909D">
      <w:pPr>
        <w:spacing w:after="120" w:line="920" w:lineRule="exact"/>
        <w:jc w:val="center"/>
        <w:rPr>
          <w:rFonts w:ascii="宋体" w:hAnsi="宋体" w:cs="宋体"/>
          <w:spacing w:val="20"/>
          <w:sz w:val="50"/>
          <w:szCs w:val="50"/>
        </w:rPr>
      </w:pPr>
    </w:p>
    <w:p w14:paraId="4FFBF737">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7F20778A">
      <w:pPr>
        <w:spacing w:after="120" w:line="920" w:lineRule="exact"/>
        <w:jc w:val="center"/>
        <w:rPr>
          <w:rFonts w:ascii="宋体" w:hAnsi="宋体" w:cs="宋体"/>
          <w:spacing w:val="20"/>
          <w:sz w:val="50"/>
          <w:szCs w:val="50"/>
        </w:rPr>
      </w:pPr>
      <w:r>
        <w:rPr>
          <w:rFonts w:hint="eastAsia" w:ascii="宋体" w:hAnsi="宋体" w:cs="宋体"/>
          <w:spacing w:val="20"/>
          <w:sz w:val="28"/>
          <w:szCs w:val="28"/>
        </w:rPr>
        <w:t>(商务技术/报价文件)</w:t>
      </w:r>
    </w:p>
    <w:p w14:paraId="3635E328">
      <w:pPr>
        <w:spacing w:after="120" w:line="920" w:lineRule="exact"/>
        <w:jc w:val="center"/>
        <w:rPr>
          <w:rFonts w:ascii="宋体" w:hAnsi="宋体" w:cs="宋体"/>
          <w:color w:val="000000"/>
          <w:sz w:val="20"/>
        </w:rPr>
      </w:pPr>
    </w:p>
    <w:p w14:paraId="44858534">
      <w:pPr>
        <w:spacing w:after="120" w:line="440" w:lineRule="exact"/>
        <w:jc w:val="center"/>
        <w:rPr>
          <w:rFonts w:ascii="宋体" w:hAnsi="宋体" w:cs="宋体"/>
          <w:color w:val="000000"/>
          <w:sz w:val="20"/>
        </w:rPr>
      </w:pPr>
    </w:p>
    <w:p w14:paraId="26F84B73">
      <w:pPr>
        <w:spacing w:after="120" w:line="440" w:lineRule="exact"/>
        <w:rPr>
          <w:rFonts w:ascii="宋体" w:hAnsi="宋体" w:cs="宋体"/>
          <w:sz w:val="20"/>
        </w:rPr>
      </w:pPr>
    </w:p>
    <w:p w14:paraId="7E234296">
      <w:pPr>
        <w:spacing w:after="120" w:line="440" w:lineRule="exact"/>
        <w:jc w:val="center"/>
        <w:rPr>
          <w:rFonts w:ascii="宋体" w:hAnsi="宋体" w:cs="宋体"/>
          <w:sz w:val="20"/>
        </w:rPr>
      </w:pPr>
    </w:p>
    <w:p w14:paraId="06068522">
      <w:pPr>
        <w:spacing w:after="120" w:line="440" w:lineRule="exact"/>
        <w:jc w:val="center"/>
        <w:rPr>
          <w:rFonts w:ascii="宋体" w:hAnsi="宋体" w:cs="宋体"/>
          <w:sz w:val="20"/>
        </w:rPr>
      </w:pPr>
    </w:p>
    <w:p w14:paraId="5598D9E0">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(盖单位公章)</w:t>
      </w:r>
    </w:p>
    <w:p w14:paraId="4657D1C3">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1906E1F4">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4FE34C0B">
      <w:pPr>
        <w:spacing w:after="156"/>
        <w:jc w:val="left"/>
        <w:rPr>
          <w:rFonts w:ascii="宋体" w:hAnsi="宋体" w:cs="宋体"/>
          <w:sz w:val="24"/>
          <w:szCs w:val="24"/>
        </w:rPr>
      </w:pPr>
    </w:p>
    <w:p w14:paraId="6A7836D0">
      <w:pPr>
        <w:spacing w:after="156"/>
        <w:jc w:val="left"/>
        <w:rPr>
          <w:rFonts w:ascii="宋体" w:hAnsi="宋体" w:cs="宋体"/>
          <w:sz w:val="24"/>
          <w:szCs w:val="24"/>
        </w:rPr>
      </w:pPr>
    </w:p>
    <w:p w14:paraId="71489FB3">
      <w:pPr>
        <w:spacing w:after="156"/>
        <w:jc w:val="left"/>
        <w:rPr>
          <w:rFonts w:ascii="宋体" w:hAnsi="宋体" w:cs="宋体"/>
          <w:sz w:val="24"/>
          <w:szCs w:val="24"/>
        </w:rPr>
      </w:pPr>
    </w:p>
    <w:p w14:paraId="4912DA54">
      <w:pPr>
        <w:spacing w:after="156"/>
        <w:jc w:val="left"/>
        <w:rPr>
          <w:rFonts w:ascii="宋体" w:hAnsi="宋体" w:cs="宋体"/>
          <w:sz w:val="24"/>
          <w:szCs w:val="24"/>
        </w:rPr>
      </w:pPr>
    </w:p>
    <w:p w14:paraId="15FB3AAC">
      <w:pPr>
        <w:jc w:val="center"/>
        <w:rPr>
          <w:rFonts w:ascii="宋体" w:hAnsi="宋体" w:cs="宋体"/>
          <w:sz w:val="30"/>
          <w:szCs w:val="30"/>
        </w:rPr>
      </w:pPr>
      <w:r>
        <w:rPr>
          <w:rFonts w:hint="eastAsia" w:ascii="宋体" w:hAnsi="宋体" w:cs="宋体"/>
          <w:sz w:val="30"/>
          <w:szCs w:val="30"/>
        </w:rPr>
        <w:t>目录</w:t>
      </w:r>
    </w:p>
    <w:p w14:paraId="68D8FFED">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6BCD0167">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EF5D627">
      <w:pPr>
        <w:spacing w:line="480" w:lineRule="exact"/>
        <w:rPr>
          <w:rFonts w:ascii="宋体" w:hAnsi="宋体" w:cs="宋体"/>
          <w:sz w:val="24"/>
        </w:rPr>
      </w:pPr>
      <w:r>
        <w:rPr>
          <w:rFonts w:hint="eastAsia" w:ascii="宋体" w:hAnsi="宋体" w:cs="宋体"/>
          <w:sz w:val="24"/>
        </w:rPr>
        <w:t>1、响应函</w:t>
      </w:r>
    </w:p>
    <w:p w14:paraId="2A1C4F46">
      <w:pPr>
        <w:spacing w:line="480" w:lineRule="exact"/>
        <w:rPr>
          <w:rFonts w:ascii="宋体" w:hAnsi="宋体" w:cs="宋体"/>
          <w:sz w:val="24"/>
        </w:rPr>
      </w:pPr>
      <w:r>
        <w:rPr>
          <w:rFonts w:hint="eastAsia" w:ascii="宋体" w:hAnsi="宋体" w:cs="宋体"/>
          <w:sz w:val="24"/>
        </w:rPr>
        <w:t>2、法定代表人/负责人身份证明（附身份证复印件）</w:t>
      </w:r>
    </w:p>
    <w:p w14:paraId="36398A74">
      <w:pPr>
        <w:spacing w:line="480" w:lineRule="exact"/>
        <w:rPr>
          <w:rFonts w:ascii="宋体" w:hAnsi="宋体" w:cs="宋体"/>
          <w:sz w:val="24"/>
        </w:rPr>
      </w:pPr>
      <w:r>
        <w:rPr>
          <w:rFonts w:hint="eastAsia" w:ascii="宋体" w:hAnsi="宋体" w:cs="宋体"/>
          <w:sz w:val="24"/>
        </w:rPr>
        <w:t>3、授权委托书（附身份证复印件）</w:t>
      </w:r>
    </w:p>
    <w:p w14:paraId="548C6EA8">
      <w:pPr>
        <w:spacing w:line="480" w:lineRule="exact"/>
        <w:rPr>
          <w:rFonts w:ascii="宋体" w:hAnsi="宋体" w:cs="宋体"/>
          <w:sz w:val="24"/>
        </w:rPr>
      </w:pPr>
      <w:r>
        <w:rPr>
          <w:rFonts w:hint="eastAsia" w:ascii="宋体" w:hAnsi="宋体" w:cs="宋体"/>
          <w:sz w:val="24"/>
        </w:rPr>
        <w:t>4、合同条款偏离表</w:t>
      </w:r>
    </w:p>
    <w:p w14:paraId="6FACD0C1">
      <w:pPr>
        <w:spacing w:line="480" w:lineRule="exact"/>
        <w:rPr>
          <w:rFonts w:ascii="宋体" w:hAnsi="宋体" w:cs="宋体"/>
          <w:sz w:val="24"/>
        </w:rPr>
      </w:pPr>
      <w:r>
        <w:rPr>
          <w:rFonts w:hint="eastAsia" w:ascii="宋体" w:hAnsi="宋体" w:cs="宋体"/>
          <w:sz w:val="24"/>
        </w:rPr>
        <w:t>5、采购需求偏离表</w:t>
      </w:r>
    </w:p>
    <w:p w14:paraId="77F0A139">
      <w:pPr>
        <w:spacing w:line="480" w:lineRule="exact"/>
        <w:rPr>
          <w:rFonts w:ascii="宋体" w:hAnsi="宋体" w:cs="宋体"/>
          <w:sz w:val="24"/>
        </w:rPr>
      </w:pPr>
      <w:r>
        <w:rPr>
          <w:rFonts w:hint="eastAsia" w:ascii="宋体" w:hAnsi="宋体" w:cs="宋体"/>
          <w:sz w:val="24"/>
          <w:szCs w:val="24"/>
        </w:rPr>
        <w:t>6、信誉承诺函</w:t>
      </w:r>
    </w:p>
    <w:p w14:paraId="68DD7DE7">
      <w:pPr>
        <w:spacing w:line="480" w:lineRule="exact"/>
        <w:rPr>
          <w:rFonts w:ascii="宋体" w:hAnsi="宋体" w:cs="宋体"/>
          <w:sz w:val="24"/>
        </w:rPr>
      </w:pPr>
      <w:r>
        <w:rPr>
          <w:rFonts w:hint="eastAsia" w:ascii="宋体" w:hAnsi="宋体" w:cs="宋体"/>
          <w:sz w:val="24"/>
        </w:rPr>
        <w:t>7、资格审查资料</w:t>
      </w:r>
    </w:p>
    <w:p w14:paraId="2CC0166C">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2C6ED48A">
      <w:pPr>
        <w:widowControl/>
        <w:spacing w:before="100" w:after="156" w:afterLines="50" w:line="400" w:lineRule="exact"/>
        <w:jc w:val="left"/>
        <w:rPr>
          <w:rFonts w:ascii="宋体" w:hAnsi="宋体" w:cs="宋体"/>
          <w:sz w:val="24"/>
          <w:szCs w:val="24"/>
        </w:rPr>
      </w:pPr>
      <w:r>
        <w:rPr>
          <w:rFonts w:hint="eastAsia" w:ascii="宋体" w:hAnsi="宋体" w:cs="宋体"/>
          <w:sz w:val="24"/>
          <w:szCs w:val="24"/>
        </w:rPr>
        <w:t>1、报价一览表</w:t>
      </w:r>
    </w:p>
    <w:p w14:paraId="5A087DE9">
      <w:pPr>
        <w:spacing w:line="440" w:lineRule="exact"/>
        <w:rPr>
          <w:rFonts w:ascii="宋体" w:hAnsi="宋体" w:cs="宋体"/>
          <w:szCs w:val="21"/>
        </w:rPr>
      </w:pPr>
      <w:bookmarkStart w:id="35" w:name="_Toc357682076"/>
      <w:bookmarkStart w:id="36" w:name="_Toc357675754"/>
      <w:bookmarkStart w:id="37" w:name="_Toc144974468"/>
      <w:bookmarkStart w:id="38" w:name="_Toc357695534"/>
      <w:bookmarkStart w:id="39" w:name="_Toc179715757"/>
      <w:bookmarkStart w:id="40" w:name="_Toc357682117"/>
      <w:bookmarkStart w:id="41" w:name="_Toc152047264"/>
      <w:bookmarkStart w:id="42" w:name="_Toc357696413"/>
      <w:bookmarkStart w:id="43" w:name="_Toc357681973"/>
      <w:bookmarkStart w:id="44" w:name="_Toc357693995"/>
      <w:bookmarkStart w:id="45" w:name="_Toc357693185"/>
      <w:r>
        <w:rPr>
          <w:rFonts w:hint="eastAsia" w:ascii="宋体" w:hAnsi="宋体" w:cs="宋体"/>
          <w:szCs w:val="21"/>
        </w:rPr>
        <w:t>（以上两部分文件分别装订和封装）</w:t>
      </w:r>
    </w:p>
    <w:p w14:paraId="265D4E51">
      <w:pPr>
        <w:rPr>
          <w:rFonts w:ascii="宋体" w:hAnsi="宋体" w:cs="宋体"/>
          <w:b/>
          <w:szCs w:val="21"/>
        </w:rPr>
      </w:pPr>
      <w:bookmarkStart w:id="46" w:name="_Toc179632811"/>
      <w:bookmarkStart w:id="47" w:name="_Toc152045791"/>
      <w:bookmarkStart w:id="48" w:name="_Toc246996359"/>
      <w:bookmarkStart w:id="49" w:name="_Toc144974860"/>
      <w:bookmarkStart w:id="50" w:name="_Toc152042580"/>
      <w:bookmarkStart w:id="51" w:name="_Toc246997102"/>
      <w:bookmarkStart w:id="52" w:name="_Toc247085877"/>
    </w:p>
    <w:p w14:paraId="69385DD1">
      <w:pPr>
        <w:rPr>
          <w:rFonts w:ascii="宋体" w:hAnsi="宋体" w:cs="宋体"/>
          <w:b/>
          <w:szCs w:val="21"/>
        </w:rPr>
      </w:pPr>
    </w:p>
    <w:p w14:paraId="3EFD2002">
      <w:pPr>
        <w:rPr>
          <w:rFonts w:ascii="宋体" w:hAnsi="宋体" w:cs="宋体"/>
          <w:b/>
          <w:szCs w:val="21"/>
        </w:rPr>
      </w:pPr>
      <w:r>
        <w:rPr>
          <w:rFonts w:hint="eastAsia" w:ascii="宋体" w:hAnsi="宋体" w:cs="宋体"/>
          <w:b/>
          <w:szCs w:val="21"/>
        </w:rPr>
        <w:br w:type="page"/>
      </w:r>
    </w:p>
    <w:p w14:paraId="5055A532">
      <w:pPr>
        <w:pStyle w:val="206"/>
        <w:jc w:val="center"/>
        <w:rPr>
          <w:rFonts w:ascii="宋体" w:hAnsi="宋体" w:eastAsia="宋体" w:cs="宋体"/>
          <w:b/>
          <w:sz w:val="36"/>
          <w:szCs w:val="30"/>
        </w:rPr>
      </w:pPr>
      <w:bookmarkStart w:id="53" w:name="_Toc456522634"/>
      <w:r>
        <w:rPr>
          <w:rFonts w:hint="eastAsia" w:ascii="宋体" w:hAnsi="宋体" w:eastAsia="宋体" w:cs="宋体"/>
        </w:rPr>
        <w:t>评审索引（速查表）</w:t>
      </w:r>
      <w:bookmarkEnd w:id="53"/>
    </w:p>
    <w:p w14:paraId="5F3D0B0E">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7F9A3B76">
      <w:pPr>
        <w:pStyle w:val="218"/>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8416" w:type="dxa"/>
        <w:tblInd w:w="0" w:type="dxa"/>
        <w:tblLayout w:type="fixed"/>
        <w:tblCellMar>
          <w:top w:w="0" w:type="dxa"/>
          <w:left w:w="108" w:type="dxa"/>
          <w:bottom w:w="0" w:type="dxa"/>
          <w:right w:w="108" w:type="dxa"/>
        </w:tblCellMar>
      </w:tblPr>
      <w:tblGrid>
        <w:gridCol w:w="817"/>
        <w:gridCol w:w="1985"/>
        <w:gridCol w:w="4579"/>
        <w:gridCol w:w="1035"/>
      </w:tblGrid>
      <w:tr w14:paraId="61DB5499">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112FBE8">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4ABB2648">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579" w:type="dxa"/>
            <w:tcBorders>
              <w:top w:val="single" w:color="auto" w:sz="4" w:space="0"/>
              <w:left w:val="nil"/>
              <w:bottom w:val="single" w:color="auto" w:sz="4" w:space="0"/>
              <w:right w:val="single" w:color="auto" w:sz="4" w:space="0"/>
            </w:tcBorders>
            <w:vAlign w:val="center"/>
          </w:tcPr>
          <w:p w14:paraId="56B7EA8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035" w:type="dxa"/>
            <w:tcBorders>
              <w:top w:val="single" w:color="auto" w:sz="4" w:space="0"/>
              <w:left w:val="nil"/>
              <w:bottom w:val="single" w:color="auto" w:sz="4" w:space="0"/>
              <w:right w:val="single" w:color="auto" w:sz="4" w:space="0"/>
            </w:tcBorders>
            <w:vAlign w:val="center"/>
          </w:tcPr>
          <w:p w14:paraId="3C939EB9">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6761064F">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BD8CA5D">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0F361856">
            <w:pPr>
              <w:widowControl/>
              <w:jc w:val="center"/>
              <w:rPr>
                <w:rFonts w:ascii="宋体" w:hAnsi="宋体" w:cs="宋体"/>
                <w:kern w:val="0"/>
              </w:rPr>
            </w:pPr>
            <w:r>
              <w:rPr>
                <w:rFonts w:hint="eastAsia" w:ascii="宋体" w:hAnsi="宋体" w:cs="宋体"/>
                <w:kern w:val="0"/>
              </w:rPr>
              <w:t>法人代表/负责人证明书、法人授权委托书</w:t>
            </w:r>
          </w:p>
        </w:tc>
        <w:tc>
          <w:tcPr>
            <w:tcW w:w="4579" w:type="dxa"/>
            <w:tcBorders>
              <w:top w:val="single" w:color="auto" w:sz="4" w:space="0"/>
              <w:left w:val="nil"/>
              <w:bottom w:val="single" w:color="auto" w:sz="4" w:space="0"/>
              <w:right w:val="single" w:color="auto" w:sz="4" w:space="0"/>
            </w:tcBorders>
            <w:vAlign w:val="center"/>
          </w:tcPr>
          <w:p w14:paraId="17331425">
            <w:pPr>
              <w:widowControl/>
              <w:jc w:val="center"/>
              <w:rPr>
                <w:rFonts w:ascii="宋体" w:hAnsi="宋体" w:cs="宋体"/>
                <w:kern w:val="0"/>
              </w:rPr>
            </w:pPr>
            <w:r>
              <w:rPr>
                <w:rFonts w:hint="eastAsia" w:ascii="宋体" w:hAnsi="宋体" w:cs="宋体"/>
                <w:kern w:val="0"/>
              </w:rPr>
              <w:t>符合第六章“响应文件格式”要求</w:t>
            </w:r>
          </w:p>
        </w:tc>
        <w:tc>
          <w:tcPr>
            <w:tcW w:w="1035" w:type="dxa"/>
            <w:tcBorders>
              <w:top w:val="single" w:color="auto" w:sz="4" w:space="0"/>
              <w:left w:val="nil"/>
              <w:bottom w:val="single" w:color="auto" w:sz="4" w:space="0"/>
              <w:right w:val="single" w:color="auto" w:sz="4" w:space="0"/>
            </w:tcBorders>
            <w:vAlign w:val="center"/>
          </w:tcPr>
          <w:p w14:paraId="288D7A0A">
            <w:pPr>
              <w:widowControl/>
              <w:jc w:val="center"/>
              <w:rPr>
                <w:rFonts w:ascii="宋体" w:hAnsi="宋体" w:cs="宋体"/>
                <w:kern w:val="0"/>
              </w:rPr>
            </w:pPr>
          </w:p>
        </w:tc>
      </w:tr>
      <w:tr w14:paraId="5291FC90">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19DB2693">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6C9B6CB1">
            <w:pPr>
              <w:widowControl/>
              <w:jc w:val="center"/>
              <w:rPr>
                <w:rFonts w:ascii="宋体" w:hAnsi="宋体" w:cs="宋体"/>
                <w:kern w:val="0"/>
              </w:rPr>
            </w:pPr>
            <w:r>
              <w:rPr>
                <w:rFonts w:hint="eastAsia" w:ascii="宋体" w:hAnsi="宋体" w:cs="宋体"/>
                <w:kern w:val="0"/>
              </w:rPr>
              <w:t>响应函</w:t>
            </w:r>
          </w:p>
        </w:tc>
        <w:tc>
          <w:tcPr>
            <w:tcW w:w="4579" w:type="dxa"/>
            <w:tcBorders>
              <w:top w:val="single" w:color="auto" w:sz="4" w:space="0"/>
              <w:left w:val="nil"/>
              <w:bottom w:val="single" w:color="auto" w:sz="4" w:space="0"/>
              <w:right w:val="single" w:color="auto" w:sz="4" w:space="0"/>
            </w:tcBorders>
            <w:vAlign w:val="center"/>
          </w:tcPr>
          <w:p w14:paraId="530D71FF">
            <w:pPr>
              <w:widowControl/>
              <w:jc w:val="center"/>
              <w:rPr>
                <w:rFonts w:ascii="宋体" w:hAnsi="宋体" w:cs="宋体"/>
                <w:kern w:val="0"/>
                <w:szCs w:val="21"/>
              </w:rPr>
            </w:pPr>
            <w:r>
              <w:rPr>
                <w:rFonts w:hint="eastAsia" w:ascii="宋体" w:hAnsi="宋体" w:cs="宋体"/>
                <w:kern w:val="0"/>
              </w:rPr>
              <w:t>提供响应函，符合第六章的要求</w:t>
            </w:r>
          </w:p>
        </w:tc>
        <w:tc>
          <w:tcPr>
            <w:tcW w:w="1035" w:type="dxa"/>
            <w:tcBorders>
              <w:top w:val="single" w:color="auto" w:sz="4" w:space="0"/>
              <w:left w:val="nil"/>
              <w:bottom w:val="single" w:color="auto" w:sz="4" w:space="0"/>
              <w:right w:val="single" w:color="auto" w:sz="4" w:space="0"/>
            </w:tcBorders>
            <w:vAlign w:val="center"/>
          </w:tcPr>
          <w:p w14:paraId="6ED6474F">
            <w:pPr>
              <w:widowControl/>
              <w:jc w:val="center"/>
              <w:rPr>
                <w:rFonts w:ascii="宋体" w:hAnsi="宋体" w:cs="宋体"/>
                <w:kern w:val="0"/>
              </w:rPr>
            </w:pPr>
          </w:p>
        </w:tc>
      </w:tr>
      <w:tr w14:paraId="23BC7B6F">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44C09793">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52FE9162">
            <w:pPr>
              <w:widowControl/>
              <w:jc w:val="center"/>
              <w:rPr>
                <w:rFonts w:ascii="宋体" w:hAnsi="宋体" w:cs="宋体"/>
                <w:kern w:val="0"/>
                <w:highlight w:val="none"/>
              </w:rPr>
            </w:pPr>
            <w:r>
              <w:rPr>
                <w:rFonts w:hint="eastAsia" w:ascii="宋体" w:hAnsi="宋体" w:cs="宋体"/>
                <w:kern w:val="0"/>
                <w:highlight w:val="none"/>
              </w:rPr>
              <w:t>供应商资格要求</w:t>
            </w:r>
          </w:p>
        </w:tc>
        <w:tc>
          <w:tcPr>
            <w:tcW w:w="4579" w:type="dxa"/>
            <w:tcBorders>
              <w:top w:val="single" w:color="auto" w:sz="4" w:space="0"/>
              <w:left w:val="nil"/>
              <w:bottom w:val="single" w:color="auto" w:sz="4" w:space="0"/>
              <w:right w:val="single" w:color="auto" w:sz="4" w:space="0"/>
            </w:tcBorders>
            <w:vAlign w:val="center"/>
          </w:tcPr>
          <w:p w14:paraId="58ABD27C">
            <w:pPr>
              <w:spacing w:line="360" w:lineRule="exact"/>
              <w:jc w:val="left"/>
              <w:rPr>
                <w:rFonts w:ascii="宋体" w:hAnsi="宋体" w:cs="宋体"/>
                <w:szCs w:val="24"/>
                <w:highlight w:val="none"/>
              </w:rPr>
            </w:pPr>
            <w:r>
              <w:rPr>
                <w:rFonts w:hint="eastAsia" w:ascii="宋体" w:hAnsi="宋体" w:cs="宋体"/>
                <w:szCs w:val="24"/>
                <w:highlight w:val="none"/>
              </w:rPr>
              <w:t>1.投标人应当具备</w:t>
            </w:r>
            <w:r>
              <w:rPr>
                <w:rFonts w:hint="eastAsia" w:ascii="宋体" w:hAnsi="宋体" w:cs="宋体"/>
                <w:szCs w:val="24"/>
                <w:highlight w:val="none"/>
                <w:lang w:eastAsia="zh-CN"/>
              </w:rPr>
              <w:t>《中华人民共和国政府采购法》</w:t>
            </w:r>
            <w:r>
              <w:rPr>
                <w:rFonts w:hint="eastAsia" w:ascii="宋体" w:hAnsi="宋体" w:cs="宋体"/>
                <w:szCs w:val="24"/>
                <w:highlight w:val="none"/>
              </w:rPr>
              <w:t>第二十二条规定的条件。</w:t>
            </w:r>
          </w:p>
          <w:p w14:paraId="3B0A7E3A">
            <w:pPr>
              <w:spacing w:line="360" w:lineRule="exact"/>
              <w:jc w:val="left"/>
              <w:rPr>
                <w:rFonts w:ascii="宋体" w:hAnsi="宋体" w:cs="宋体"/>
                <w:szCs w:val="24"/>
                <w:highlight w:val="none"/>
              </w:rPr>
            </w:pPr>
            <w:r>
              <w:rPr>
                <w:rFonts w:hint="eastAsia" w:ascii="宋体" w:hAnsi="宋体" w:cs="宋体"/>
                <w:szCs w:val="24"/>
                <w:highlight w:val="none"/>
              </w:rPr>
              <w:t>2.供应商应当是具有合法经营资格的法人或者其他组织，具有良好的信誉。</w:t>
            </w:r>
          </w:p>
          <w:p w14:paraId="1D15F418">
            <w:pPr>
              <w:spacing w:line="360" w:lineRule="exact"/>
              <w:jc w:val="left"/>
              <w:rPr>
                <w:rFonts w:ascii="宋体" w:hAnsi="宋体" w:cs="宋体"/>
                <w:szCs w:val="24"/>
                <w:highlight w:val="none"/>
              </w:rPr>
            </w:pPr>
            <w:r>
              <w:rPr>
                <w:rFonts w:hint="eastAsia" w:ascii="宋体" w:hAnsi="宋体" w:cs="宋体"/>
                <w:szCs w:val="24"/>
                <w:highlight w:val="none"/>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A4B6DB3">
            <w:pPr>
              <w:spacing w:line="360" w:lineRule="exact"/>
              <w:jc w:val="left"/>
              <w:rPr>
                <w:rFonts w:ascii="宋体" w:hAnsi="宋体" w:cs="宋体"/>
                <w:szCs w:val="24"/>
                <w:highlight w:val="none"/>
              </w:rPr>
            </w:pPr>
            <w:r>
              <w:rPr>
                <w:rFonts w:hint="eastAsia" w:ascii="宋体" w:hAnsi="宋体" w:cs="宋体"/>
                <w:szCs w:val="24"/>
                <w:highlight w:val="none"/>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2E572622">
            <w:pPr>
              <w:spacing w:line="360" w:lineRule="exact"/>
              <w:jc w:val="left"/>
              <w:rPr>
                <w:rFonts w:hint="eastAsia" w:ascii="宋体" w:hAnsi="宋体" w:cs="宋体"/>
                <w:szCs w:val="24"/>
                <w:highlight w:val="none"/>
              </w:rPr>
            </w:pPr>
            <w:r>
              <w:rPr>
                <w:rFonts w:hint="eastAsia" w:ascii="宋体" w:hAnsi="宋体" w:cs="宋体"/>
                <w:szCs w:val="24"/>
                <w:highlight w:val="none"/>
              </w:rPr>
              <w:t>5.单位负责人为同一人或者存在直接控股、管理关系的不同供应商，不得参加同一合同项下的政府采购活动。</w:t>
            </w:r>
          </w:p>
          <w:p w14:paraId="74522930">
            <w:pPr>
              <w:spacing w:line="360" w:lineRule="exact"/>
              <w:jc w:val="left"/>
              <w:rPr>
                <w:rFonts w:hint="eastAsia" w:ascii="宋体" w:hAnsi="宋体" w:cs="宋体"/>
                <w:szCs w:val="24"/>
                <w:highlight w:val="none"/>
              </w:rPr>
            </w:pPr>
            <w:r>
              <w:rPr>
                <w:rFonts w:hint="eastAsia"/>
                <w:highlight w:val="none"/>
                <w:lang w:val="en-US" w:eastAsia="zh-CN"/>
              </w:rPr>
              <w:t>6.供应商提供相关产品</w:t>
            </w:r>
            <w:r>
              <w:rPr>
                <w:rFonts w:hint="eastAsia"/>
                <w:highlight w:val="none"/>
              </w:rPr>
              <w:t>制造厂商授权书</w:t>
            </w:r>
            <w:r>
              <w:rPr>
                <w:rFonts w:hint="eastAsia"/>
                <w:highlight w:val="none"/>
                <w:lang w:val="en-US" w:eastAsia="zh-CN"/>
              </w:rPr>
              <w:t>及</w:t>
            </w:r>
            <w:r>
              <w:rPr>
                <w:rFonts w:hint="eastAsia"/>
                <w:highlight w:val="none"/>
              </w:rPr>
              <w:t>产品售后服务承诺函</w:t>
            </w:r>
            <w:r>
              <w:rPr>
                <w:rFonts w:hint="eastAsia"/>
                <w:highlight w:val="none"/>
                <w:lang w:eastAsia="zh-CN"/>
              </w:rPr>
              <w:t>。</w:t>
            </w:r>
          </w:p>
        </w:tc>
        <w:tc>
          <w:tcPr>
            <w:tcW w:w="1035" w:type="dxa"/>
            <w:tcBorders>
              <w:top w:val="single" w:color="auto" w:sz="4" w:space="0"/>
              <w:left w:val="nil"/>
              <w:bottom w:val="single" w:color="auto" w:sz="4" w:space="0"/>
              <w:right w:val="single" w:color="auto" w:sz="4" w:space="0"/>
            </w:tcBorders>
            <w:vAlign w:val="center"/>
          </w:tcPr>
          <w:p w14:paraId="798DD378">
            <w:pPr>
              <w:widowControl/>
              <w:jc w:val="center"/>
              <w:rPr>
                <w:rFonts w:ascii="宋体" w:hAnsi="宋体" w:cs="宋体"/>
                <w:kern w:val="0"/>
              </w:rPr>
            </w:pPr>
          </w:p>
        </w:tc>
      </w:tr>
      <w:tr w14:paraId="49083D35">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13443913">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20D2EF3D">
            <w:pPr>
              <w:widowControl/>
              <w:jc w:val="center"/>
              <w:rPr>
                <w:rFonts w:ascii="宋体" w:hAnsi="宋体" w:cs="宋体"/>
                <w:kern w:val="0"/>
              </w:rPr>
            </w:pPr>
            <w:r>
              <w:rPr>
                <w:rFonts w:hint="eastAsia" w:ascii="宋体" w:hAnsi="宋体" w:cs="宋体"/>
                <w:szCs w:val="24"/>
              </w:rPr>
              <w:t>信誉要求及廉洁诚信</w:t>
            </w:r>
          </w:p>
        </w:tc>
        <w:tc>
          <w:tcPr>
            <w:tcW w:w="4579" w:type="dxa"/>
            <w:tcBorders>
              <w:top w:val="single" w:color="auto" w:sz="4" w:space="0"/>
              <w:left w:val="nil"/>
              <w:bottom w:val="single" w:color="auto" w:sz="4" w:space="0"/>
              <w:right w:val="single" w:color="auto" w:sz="4" w:space="0"/>
            </w:tcBorders>
            <w:vAlign w:val="center"/>
          </w:tcPr>
          <w:p w14:paraId="4174F2FF">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1035" w:type="dxa"/>
            <w:tcBorders>
              <w:top w:val="single" w:color="auto" w:sz="4" w:space="0"/>
              <w:left w:val="nil"/>
              <w:bottom w:val="single" w:color="auto" w:sz="4" w:space="0"/>
              <w:right w:val="single" w:color="auto" w:sz="4" w:space="0"/>
            </w:tcBorders>
            <w:vAlign w:val="center"/>
          </w:tcPr>
          <w:p w14:paraId="2629DC18">
            <w:pPr>
              <w:widowControl/>
              <w:jc w:val="center"/>
              <w:rPr>
                <w:rFonts w:ascii="宋体" w:hAnsi="宋体" w:cs="宋体"/>
                <w:kern w:val="0"/>
              </w:rPr>
            </w:pPr>
          </w:p>
        </w:tc>
      </w:tr>
      <w:tr w14:paraId="1E9F0DD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D5A57F">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7A972BBD">
            <w:pPr>
              <w:widowControl/>
              <w:jc w:val="center"/>
              <w:rPr>
                <w:rFonts w:ascii="宋体" w:hAnsi="宋体" w:cs="宋体"/>
                <w:szCs w:val="24"/>
              </w:rPr>
            </w:pPr>
            <w:r>
              <w:rPr>
                <w:rFonts w:hint="eastAsia" w:ascii="宋体" w:hAnsi="宋体" w:cs="宋体"/>
                <w:szCs w:val="24"/>
              </w:rPr>
              <w:t>联合体</w:t>
            </w:r>
          </w:p>
        </w:tc>
        <w:tc>
          <w:tcPr>
            <w:tcW w:w="4579" w:type="dxa"/>
            <w:tcBorders>
              <w:top w:val="single" w:color="auto" w:sz="4" w:space="0"/>
              <w:left w:val="nil"/>
              <w:bottom w:val="single" w:color="auto" w:sz="4" w:space="0"/>
              <w:right w:val="single" w:color="auto" w:sz="4" w:space="0"/>
            </w:tcBorders>
            <w:vAlign w:val="center"/>
          </w:tcPr>
          <w:p w14:paraId="4D1E0853">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1035" w:type="dxa"/>
            <w:tcBorders>
              <w:top w:val="single" w:color="auto" w:sz="4" w:space="0"/>
              <w:left w:val="nil"/>
              <w:bottom w:val="single" w:color="auto" w:sz="4" w:space="0"/>
              <w:right w:val="single" w:color="auto" w:sz="4" w:space="0"/>
            </w:tcBorders>
            <w:vAlign w:val="center"/>
          </w:tcPr>
          <w:p w14:paraId="3C0ACEA8">
            <w:pPr>
              <w:widowControl/>
              <w:jc w:val="center"/>
              <w:rPr>
                <w:rFonts w:ascii="宋体" w:hAnsi="宋体" w:cs="宋体"/>
                <w:kern w:val="0"/>
              </w:rPr>
            </w:pPr>
          </w:p>
        </w:tc>
      </w:tr>
      <w:tr w14:paraId="3A48D85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D53DA8B">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D907AA5">
            <w:pPr>
              <w:widowControl/>
              <w:jc w:val="center"/>
              <w:rPr>
                <w:rFonts w:ascii="宋体" w:hAnsi="宋体" w:cs="宋体"/>
                <w:kern w:val="0"/>
              </w:rPr>
            </w:pPr>
            <w:r>
              <w:rPr>
                <w:rFonts w:hint="eastAsia" w:ascii="宋体" w:hAnsi="宋体" w:cs="宋体"/>
                <w:kern w:val="0"/>
              </w:rPr>
              <w:t>响应报价</w:t>
            </w:r>
          </w:p>
        </w:tc>
        <w:tc>
          <w:tcPr>
            <w:tcW w:w="4579" w:type="dxa"/>
            <w:tcBorders>
              <w:top w:val="single" w:color="auto" w:sz="4" w:space="0"/>
              <w:left w:val="nil"/>
              <w:bottom w:val="single" w:color="auto" w:sz="4" w:space="0"/>
              <w:right w:val="single" w:color="auto" w:sz="4" w:space="0"/>
            </w:tcBorders>
            <w:vAlign w:val="center"/>
          </w:tcPr>
          <w:p w14:paraId="00C6DC24">
            <w:pPr>
              <w:widowControl/>
              <w:jc w:val="left"/>
              <w:rPr>
                <w:rFonts w:ascii="宋体" w:hAnsi="宋体" w:cs="宋体"/>
                <w:kern w:val="0"/>
              </w:rPr>
            </w:pPr>
            <w:r>
              <w:rPr>
                <w:rFonts w:hint="eastAsia" w:ascii="宋体" w:hAnsi="宋体" w:cs="宋体"/>
                <w:kern w:val="0"/>
              </w:rPr>
              <w:t>本项目设最高限价，含税报价不超出预算总价</w:t>
            </w:r>
          </w:p>
        </w:tc>
        <w:tc>
          <w:tcPr>
            <w:tcW w:w="1035" w:type="dxa"/>
            <w:tcBorders>
              <w:top w:val="single" w:color="auto" w:sz="4" w:space="0"/>
              <w:left w:val="nil"/>
              <w:bottom w:val="single" w:color="auto" w:sz="4" w:space="0"/>
              <w:right w:val="single" w:color="auto" w:sz="4" w:space="0"/>
            </w:tcBorders>
            <w:vAlign w:val="center"/>
          </w:tcPr>
          <w:p w14:paraId="182C37DB">
            <w:pPr>
              <w:widowControl/>
              <w:jc w:val="center"/>
              <w:rPr>
                <w:rFonts w:ascii="宋体" w:hAnsi="宋体" w:cs="宋体"/>
                <w:kern w:val="0"/>
              </w:rPr>
            </w:pPr>
          </w:p>
        </w:tc>
      </w:tr>
      <w:tr w14:paraId="2B7655F6">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0FA54580">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14A96174">
            <w:pPr>
              <w:widowControl/>
              <w:jc w:val="center"/>
              <w:rPr>
                <w:rFonts w:ascii="宋体" w:hAnsi="宋体" w:cs="宋体"/>
                <w:kern w:val="0"/>
                <w:szCs w:val="21"/>
              </w:rPr>
            </w:pPr>
            <w:r>
              <w:rPr>
                <w:rFonts w:hint="eastAsia" w:ascii="宋体" w:hAnsi="宋体" w:cs="宋体"/>
                <w:kern w:val="0"/>
                <w:szCs w:val="21"/>
              </w:rPr>
              <w:t>点对点应答</w:t>
            </w:r>
          </w:p>
        </w:tc>
        <w:tc>
          <w:tcPr>
            <w:tcW w:w="4579" w:type="dxa"/>
            <w:tcBorders>
              <w:top w:val="single" w:color="auto" w:sz="4" w:space="0"/>
              <w:left w:val="nil"/>
              <w:bottom w:val="single" w:color="auto" w:sz="4" w:space="0"/>
              <w:right w:val="single" w:color="auto" w:sz="4" w:space="0"/>
            </w:tcBorders>
            <w:vAlign w:val="center"/>
          </w:tcPr>
          <w:p w14:paraId="35BAE8C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1035" w:type="dxa"/>
            <w:tcBorders>
              <w:top w:val="single" w:color="auto" w:sz="4" w:space="0"/>
              <w:left w:val="nil"/>
              <w:bottom w:val="single" w:color="auto" w:sz="4" w:space="0"/>
              <w:right w:val="single" w:color="auto" w:sz="4" w:space="0"/>
            </w:tcBorders>
            <w:vAlign w:val="center"/>
          </w:tcPr>
          <w:p w14:paraId="6C94731F">
            <w:pPr>
              <w:widowControl/>
              <w:jc w:val="center"/>
              <w:rPr>
                <w:rFonts w:ascii="宋体" w:hAnsi="宋体" w:cs="宋体"/>
                <w:kern w:val="0"/>
              </w:rPr>
            </w:pPr>
          </w:p>
        </w:tc>
      </w:tr>
      <w:tr w14:paraId="18AB922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295ADB70">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32DAC82A">
            <w:pPr>
              <w:widowControl/>
              <w:jc w:val="center"/>
              <w:rPr>
                <w:rFonts w:ascii="宋体" w:hAnsi="宋体" w:cs="宋体"/>
                <w:kern w:val="0"/>
                <w:szCs w:val="21"/>
              </w:rPr>
            </w:pPr>
            <w:r>
              <w:rPr>
                <w:rFonts w:hint="eastAsia" w:ascii="宋体" w:hAnsi="宋体" w:cs="宋体"/>
                <w:kern w:val="0"/>
              </w:rPr>
              <w:t>响应文件的签署和盖章</w:t>
            </w:r>
          </w:p>
        </w:tc>
        <w:tc>
          <w:tcPr>
            <w:tcW w:w="4579" w:type="dxa"/>
            <w:tcBorders>
              <w:top w:val="single" w:color="auto" w:sz="4" w:space="0"/>
              <w:left w:val="nil"/>
              <w:bottom w:val="single" w:color="auto" w:sz="4" w:space="0"/>
              <w:right w:val="single" w:color="auto" w:sz="4" w:space="0"/>
            </w:tcBorders>
            <w:vAlign w:val="center"/>
          </w:tcPr>
          <w:p w14:paraId="3EAABA35">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00EDB044">
            <w:pPr>
              <w:widowControl/>
              <w:jc w:val="left"/>
              <w:rPr>
                <w:rFonts w:ascii="宋体" w:hAnsi="宋体" w:cs="宋体"/>
                <w:kern w:val="0"/>
              </w:rPr>
            </w:pPr>
            <w:r>
              <w:rPr>
                <w:rFonts w:hint="eastAsia" w:ascii="宋体" w:hAnsi="宋体" w:cs="宋体"/>
                <w:kern w:val="0"/>
              </w:rPr>
              <w:t>同时响应文件签字盖章必须满足以下其中一条规定：</w:t>
            </w:r>
          </w:p>
          <w:p w14:paraId="2D21612F">
            <w:pPr>
              <w:widowControl/>
              <w:jc w:val="left"/>
              <w:rPr>
                <w:rFonts w:ascii="宋体" w:hAnsi="宋体" w:cs="宋体"/>
                <w:kern w:val="0"/>
              </w:rPr>
            </w:pPr>
            <w:r>
              <w:rPr>
                <w:rFonts w:hint="eastAsia" w:ascii="宋体" w:hAnsi="宋体" w:cs="宋体"/>
                <w:kern w:val="0"/>
              </w:rPr>
              <w:t>1)供应商的法定代表人/负责人或其授权人逐页签字；</w:t>
            </w:r>
          </w:p>
          <w:p w14:paraId="6225861F">
            <w:pPr>
              <w:widowControl/>
              <w:jc w:val="left"/>
              <w:rPr>
                <w:rFonts w:ascii="宋体" w:hAnsi="宋体" w:cs="宋体"/>
                <w:kern w:val="0"/>
              </w:rPr>
            </w:pPr>
            <w:r>
              <w:rPr>
                <w:rFonts w:hint="eastAsia" w:ascii="宋体" w:hAnsi="宋体" w:cs="宋体"/>
                <w:kern w:val="0"/>
              </w:rPr>
              <w:t>2)响应文件加盖供应商单位骑缝章（加盖骑缝章的为单位公章）；</w:t>
            </w:r>
          </w:p>
          <w:p w14:paraId="3C1456B6">
            <w:pPr>
              <w:widowControl/>
              <w:jc w:val="left"/>
              <w:rPr>
                <w:rFonts w:ascii="宋体" w:hAnsi="宋体" w:cs="宋体"/>
                <w:kern w:val="0"/>
                <w:szCs w:val="21"/>
              </w:rPr>
            </w:pPr>
            <w:r>
              <w:rPr>
                <w:rFonts w:hint="eastAsia" w:ascii="宋体" w:hAnsi="宋体" w:cs="宋体"/>
                <w:kern w:val="0"/>
              </w:rPr>
              <w:t>3)响应文件均应逐页加盖供应商单位公章。</w:t>
            </w:r>
          </w:p>
        </w:tc>
        <w:tc>
          <w:tcPr>
            <w:tcW w:w="1035" w:type="dxa"/>
            <w:tcBorders>
              <w:top w:val="single" w:color="auto" w:sz="4" w:space="0"/>
              <w:left w:val="nil"/>
              <w:bottom w:val="single" w:color="auto" w:sz="4" w:space="0"/>
              <w:right w:val="single" w:color="auto" w:sz="4" w:space="0"/>
            </w:tcBorders>
            <w:vAlign w:val="center"/>
          </w:tcPr>
          <w:p w14:paraId="1BBECDF1">
            <w:pPr>
              <w:widowControl/>
              <w:jc w:val="center"/>
              <w:rPr>
                <w:rFonts w:ascii="宋体" w:hAnsi="宋体" w:cs="宋体"/>
                <w:kern w:val="0"/>
              </w:rPr>
            </w:pPr>
          </w:p>
        </w:tc>
      </w:tr>
    </w:tbl>
    <w:p w14:paraId="01D3F220">
      <w:pPr>
        <w:pStyle w:val="64"/>
        <w:ind w:left="0"/>
        <w:rPr>
          <w:rFonts w:ascii="宋体" w:hAnsi="宋体" w:cs="宋体"/>
        </w:rPr>
      </w:pPr>
      <w:r>
        <w:rPr>
          <w:rFonts w:hint="eastAsia" w:ascii="宋体" w:hAnsi="宋体" w:cs="宋体"/>
        </w:rPr>
        <w:br w:type="page"/>
      </w:r>
    </w:p>
    <w:p w14:paraId="0794EA96">
      <w:pPr>
        <w:pStyle w:val="3"/>
        <w:rPr>
          <w:rFonts w:ascii="宋体" w:hAnsi="宋体" w:cs="宋体"/>
          <w:b w:val="0"/>
        </w:rPr>
      </w:pPr>
      <w:r>
        <w:rPr>
          <w:rFonts w:hint="eastAsia" w:ascii="宋体" w:hAnsi="宋体" w:cs="宋体"/>
          <w:b w:val="0"/>
        </w:rPr>
        <w:t>第一部分：商务技术响应文件</w:t>
      </w:r>
    </w:p>
    <w:p w14:paraId="42D794DB">
      <w:pPr>
        <w:pStyle w:val="3"/>
        <w:jc w:val="center"/>
        <w:rPr>
          <w:rFonts w:ascii="宋体" w:hAnsi="宋体" w:cs="宋体"/>
          <w:b w:val="0"/>
        </w:rPr>
      </w:pPr>
      <w:r>
        <w:rPr>
          <w:rFonts w:hint="eastAsia" w:ascii="宋体" w:hAnsi="宋体" w:cs="宋体"/>
          <w:b w:val="0"/>
        </w:rPr>
        <w:t>一、响应函</w:t>
      </w:r>
    </w:p>
    <w:p w14:paraId="7BF978B8">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5D1F4394">
      <w:pPr>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lang w:eastAsia="zh-CN"/>
        </w:rPr>
        <w:t>数字江门网络建设有限公司园区系统建设项目</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41248067">
      <w:pPr>
        <w:ind w:firstLine="718" w:firstLineChars="342"/>
        <w:rPr>
          <w:rFonts w:ascii="宋体" w:hAnsi="宋体" w:cs="宋体"/>
          <w:szCs w:val="21"/>
        </w:rPr>
      </w:pPr>
      <w:r>
        <w:rPr>
          <w:rFonts w:hint="eastAsia" w:ascii="宋体" w:hAnsi="宋体" w:cs="宋体"/>
          <w:szCs w:val="21"/>
        </w:rPr>
        <w:t>（1）响应函；</w:t>
      </w:r>
    </w:p>
    <w:p w14:paraId="73BA6D52">
      <w:pPr>
        <w:ind w:firstLine="718" w:firstLineChars="342"/>
        <w:rPr>
          <w:rFonts w:ascii="宋体" w:hAnsi="宋体" w:cs="宋体"/>
          <w:szCs w:val="21"/>
        </w:rPr>
      </w:pPr>
      <w:r>
        <w:rPr>
          <w:rFonts w:hint="eastAsia" w:ascii="宋体" w:hAnsi="宋体" w:cs="宋体"/>
          <w:szCs w:val="21"/>
        </w:rPr>
        <w:t>（2）法人授权委托书及授权代表身份证明；</w:t>
      </w:r>
    </w:p>
    <w:p w14:paraId="32EE7670">
      <w:pPr>
        <w:ind w:firstLine="718" w:firstLineChars="342"/>
        <w:rPr>
          <w:rFonts w:ascii="宋体" w:hAnsi="宋体" w:cs="宋体"/>
          <w:szCs w:val="21"/>
        </w:rPr>
      </w:pPr>
      <w:r>
        <w:rPr>
          <w:rFonts w:hint="eastAsia" w:ascii="宋体" w:hAnsi="宋体" w:cs="宋体"/>
          <w:szCs w:val="21"/>
        </w:rPr>
        <w:t>（3）营业执照（或事业单位法人证书等）；</w:t>
      </w:r>
    </w:p>
    <w:p w14:paraId="48562382">
      <w:pPr>
        <w:ind w:firstLine="718" w:firstLineChars="342"/>
        <w:rPr>
          <w:rFonts w:ascii="宋体" w:hAnsi="宋体" w:cs="宋体"/>
          <w:szCs w:val="21"/>
        </w:rPr>
      </w:pPr>
      <w:r>
        <w:rPr>
          <w:rFonts w:hint="eastAsia" w:ascii="宋体" w:hAnsi="宋体" w:cs="宋体"/>
          <w:szCs w:val="21"/>
        </w:rPr>
        <w:t>（4）对项目需求书的应答；</w:t>
      </w:r>
    </w:p>
    <w:p w14:paraId="10F324E2">
      <w:pPr>
        <w:ind w:firstLine="718" w:firstLineChars="342"/>
        <w:rPr>
          <w:rFonts w:ascii="宋体" w:hAnsi="宋体" w:cs="宋体"/>
          <w:szCs w:val="21"/>
        </w:rPr>
      </w:pPr>
      <w:r>
        <w:rPr>
          <w:rFonts w:hint="eastAsia" w:ascii="宋体" w:hAnsi="宋体" w:cs="宋体"/>
          <w:szCs w:val="21"/>
        </w:rPr>
        <w:t>（5）项目实施方案；</w:t>
      </w:r>
    </w:p>
    <w:p w14:paraId="47AAC641">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64232A4">
      <w:pPr>
        <w:spacing w:after="156" w:afterLines="50"/>
        <w:ind w:firstLine="240"/>
        <w:rPr>
          <w:rFonts w:ascii="宋体" w:hAnsi="宋体" w:cs="宋体"/>
        </w:rPr>
      </w:pPr>
      <w:r>
        <w:rPr>
          <w:rFonts w:hint="eastAsia" w:ascii="宋体" w:hAnsi="宋体" w:cs="宋体"/>
        </w:rPr>
        <w:t>我方在此声明：</w:t>
      </w:r>
    </w:p>
    <w:p w14:paraId="63D0FBD5">
      <w:pPr>
        <w:ind w:firstLine="420" w:firstLineChars="200"/>
        <w:rPr>
          <w:rFonts w:ascii="宋体" w:hAnsi="宋体" w:cs="宋体"/>
          <w:szCs w:val="21"/>
        </w:rPr>
      </w:pPr>
      <w:r>
        <w:rPr>
          <w:rFonts w:hint="eastAsia" w:ascii="宋体" w:hAnsi="宋体" w:cs="宋体"/>
          <w:szCs w:val="21"/>
        </w:rPr>
        <w:t>2．我方承诺在比选文件规定的比选有效期内不修改、撤销响应文件。</w:t>
      </w:r>
    </w:p>
    <w:p w14:paraId="6725C1B0">
      <w:pPr>
        <w:ind w:firstLine="420" w:firstLineChars="200"/>
        <w:rPr>
          <w:rFonts w:ascii="宋体" w:hAnsi="宋体" w:cs="宋体"/>
          <w:szCs w:val="21"/>
        </w:rPr>
      </w:pPr>
      <w:r>
        <w:rPr>
          <w:rFonts w:hint="eastAsia" w:ascii="宋体" w:hAnsi="宋体" w:cs="宋体"/>
          <w:szCs w:val="21"/>
        </w:rPr>
        <w:t>3．如我方成交：</w:t>
      </w:r>
    </w:p>
    <w:p w14:paraId="60B51F0E">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65525D74">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29763624">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37C425C0">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3EF43767">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22A6B88F">
      <w:pPr>
        <w:ind w:firstLine="420" w:firstLineChars="200"/>
        <w:rPr>
          <w:rFonts w:ascii="宋体" w:hAnsi="宋体" w:cs="宋体"/>
        </w:rPr>
      </w:pPr>
      <w:r>
        <w:rPr>
          <w:rFonts w:hint="eastAsia" w:ascii="宋体" w:hAnsi="宋体" w:cs="宋体"/>
          <w:szCs w:val="21"/>
        </w:rPr>
        <w:t>4．</w:t>
      </w:r>
      <w:r>
        <w:rPr>
          <w:rFonts w:hint="eastAsia" w:ascii="宋体" w:hAnsi="宋体" w:cs="宋体"/>
        </w:rPr>
        <w:t>我方在此声明，所递交的响应文件及有关资料内容完整、真实和准确，且不存在任何违反相关法律法规关于供应商资格要求的情形。</w:t>
      </w:r>
    </w:p>
    <w:p w14:paraId="0C2AB9EC">
      <w:pPr>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我方承诺未组成联合体响应本项目的应答。</w:t>
      </w:r>
    </w:p>
    <w:p w14:paraId="5C5298FE">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1C221BF8">
      <w:pPr>
        <w:spacing w:line="440" w:lineRule="exact"/>
        <w:jc w:val="right"/>
        <w:rPr>
          <w:rFonts w:ascii="宋体" w:hAnsi="宋体" w:cs="宋体"/>
          <w:szCs w:val="21"/>
        </w:rPr>
      </w:pPr>
    </w:p>
    <w:p w14:paraId="5E720C93">
      <w:pPr>
        <w:spacing w:line="440" w:lineRule="exact"/>
        <w:ind w:left="0" w:leftChars="0"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4CF0FDBA">
      <w:pPr>
        <w:spacing w:line="440" w:lineRule="exact"/>
        <w:ind w:left="0" w:leftChars="0"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4AADE74A">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34EB8D0">
      <w:pPr>
        <w:rPr>
          <w:rFonts w:ascii="宋体" w:hAnsi="宋体" w:cs="宋体"/>
        </w:rPr>
      </w:pPr>
    </w:p>
    <w:p w14:paraId="10C240F0">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46"/>
      <w:bookmarkEnd w:id="47"/>
      <w:bookmarkEnd w:id="48"/>
      <w:bookmarkEnd w:id="49"/>
      <w:bookmarkEnd w:id="50"/>
      <w:bookmarkEnd w:id="51"/>
      <w:bookmarkEnd w:id="52"/>
    </w:p>
    <w:p w14:paraId="7D31FD31">
      <w:pPr>
        <w:spacing w:line="440" w:lineRule="exact"/>
        <w:ind w:left="0" w:leftChars="0" w:firstLine="420" w:firstLineChars="2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19EB00FC">
      <w:pPr>
        <w:spacing w:line="440" w:lineRule="exact"/>
        <w:ind w:left="0" w:leftChars="0" w:firstLine="420" w:firstLineChars="200"/>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032C6121">
      <w:pPr>
        <w:spacing w:line="440" w:lineRule="exact"/>
        <w:ind w:left="0" w:leftChars="0"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4522DD02">
      <w:pPr>
        <w:spacing w:line="440" w:lineRule="exact"/>
        <w:ind w:left="0" w:leftChars="0" w:firstLine="420" w:firstLineChars="200"/>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7DD80F">
      <w:pPr>
        <w:spacing w:line="440" w:lineRule="exact"/>
        <w:ind w:left="0" w:leftChars="0" w:firstLine="420" w:firstLineChars="200"/>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0250409">
      <w:pPr>
        <w:spacing w:line="440" w:lineRule="exact"/>
        <w:ind w:left="0" w:leftChars="0" w:firstLine="420" w:firstLineChars="200"/>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B7BD584">
      <w:pPr>
        <w:spacing w:line="440" w:lineRule="exact"/>
        <w:ind w:left="0" w:leftChars="0"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2EB0F44D">
      <w:pPr>
        <w:spacing w:line="440" w:lineRule="exact"/>
        <w:ind w:firstLine="420" w:firstLineChars="200"/>
        <w:rPr>
          <w:rFonts w:ascii="宋体" w:hAnsi="宋体" w:cs="宋体"/>
          <w:szCs w:val="21"/>
        </w:rPr>
      </w:pPr>
      <w:r>
        <w:rPr>
          <w:rFonts w:hint="eastAsia" w:ascii="宋体" w:hAnsi="宋体" w:cs="宋体"/>
          <w:szCs w:val="21"/>
        </w:rPr>
        <w:t>特此证明。</w:t>
      </w:r>
    </w:p>
    <w:p w14:paraId="399F7F0C">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667FDA74">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54DD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350CC7BD">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4D1ADB87">
            <w:pPr>
              <w:jc w:val="center"/>
              <w:rPr>
                <w:rFonts w:ascii="宋体" w:hAnsi="宋体" w:cs="宋体"/>
                <w:color w:val="000000"/>
                <w:sz w:val="28"/>
                <w:szCs w:val="28"/>
              </w:rPr>
            </w:pPr>
          </w:p>
          <w:p w14:paraId="4E01D100">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31DE5FCF">
            <w:pPr>
              <w:ind w:left="-55"/>
              <w:jc w:val="center"/>
              <w:rPr>
                <w:rFonts w:ascii="宋体" w:hAnsi="宋体" w:cs="宋体"/>
                <w:bCs/>
                <w:color w:val="000000"/>
                <w:szCs w:val="21"/>
              </w:rPr>
            </w:pPr>
          </w:p>
        </w:tc>
      </w:tr>
    </w:tbl>
    <w:p w14:paraId="1030A842">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1A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4F3BFAB0">
            <w:pPr>
              <w:adjustRightInd w:val="0"/>
              <w:spacing w:line="312" w:lineRule="atLeast"/>
              <w:jc w:val="center"/>
              <w:textAlignment w:val="baseline"/>
              <w:rPr>
                <w:rFonts w:ascii="宋体" w:hAnsi="宋体" w:cs="宋体"/>
                <w:color w:val="000000"/>
                <w:sz w:val="28"/>
                <w:szCs w:val="28"/>
              </w:rPr>
            </w:pPr>
          </w:p>
          <w:p w14:paraId="7E9DFE3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2A124F2">
            <w:pPr>
              <w:adjustRightInd w:val="0"/>
              <w:spacing w:line="312" w:lineRule="atLeast"/>
              <w:jc w:val="center"/>
              <w:textAlignment w:val="baseline"/>
              <w:rPr>
                <w:rFonts w:ascii="宋体" w:hAnsi="宋体" w:cs="宋体"/>
                <w:color w:val="000000"/>
                <w:sz w:val="28"/>
                <w:szCs w:val="28"/>
              </w:rPr>
            </w:pPr>
          </w:p>
          <w:p w14:paraId="19AF6CB0">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1BC89EE">
            <w:pPr>
              <w:adjustRightInd w:val="0"/>
              <w:spacing w:line="500" w:lineRule="exact"/>
              <w:jc w:val="center"/>
              <w:textAlignment w:val="baseline"/>
              <w:rPr>
                <w:rFonts w:ascii="宋体" w:hAnsi="宋体" w:cs="宋体"/>
                <w:b/>
                <w:bCs/>
                <w:color w:val="000000"/>
                <w:sz w:val="28"/>
                <w:szCs w:val="28"/>
              </w:rPr>
            </w:pPr>
          </w:p>
          <w:p w14:paraId="05B0B449">
            <w:pPr>
              <w:adjustRightInd w:val="0"/>
              <w:spacing w:line="312" w:lineRule="atLeast"/>
              <w:textAlignment w:val="baseline"/>
              <w:rPr>
                <w:rFonts w:ascii="宋体" w:hAnsi="宋体" w:cs="宋体"/>
                <w:color w:val="000000"/>
              </w:rPr>
            </w:pPr>
          </w:p>
        </w:tc>
      </w:tr>
    </w:tbl>
    <w:p w14:paraId="1B5CE6CA">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2E46A75">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71971E72">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bookmarkEnd w:id="35"/>
    <w:bookmarkEnd w:id="36"/>
    <w:bookmarkEnd w:id="37"/>
    <w:bookmarkEnd w:id="38"/>
    <w:bookmarkEnd w:id="39"/>
    <w:bookmarkEnd w:id="40"/>
    <w:bookmarkEnd w:id="41"/>
    <w:bookmarkEnd w:id="42"/>
    <w:bookmarkEnd w:id="43"/>
    <w:bookmarkEnd w:id="44"/>
    <w:bookmarkEnd w:id="45"/>
    <w:p w14:paraId="2ECE4566">
      <w:pPr>
        <w:pStyle w:val="3"/>
        <w:jc w:val="center"/>
        <w:rPr>
          <w:rFonts w:ascii="宋体" w:hAnsi="宋体" w:cs="宋体"/>
          <w:b w:val="0"/>
        </w:rPr>
      </w:pPr>
      <w:bookmarkStart w:id="54" w:name="_Toc152042581"/>
      <w:bookmarkStart w:id="55" w:name="_Toc246996360"/>
      <w:bookmarkStart w:id="56" w:name="_Toc144974861"/>
      <w:bookmarkStart w:id="57" w:name="_Toc179632812"/>
      <w:bookmarkStart w:id="58" w:name="_Toc152045792"/>
      <w:bookmarkStart w:id="59" w:name="_Toc247085878"/>
      <w:bookmarkStart w:id="60" w:name="_Toc246997103"/>
      <w:r>
        <w:rPr>
          <w:rFonts w:hint="eastAsia" w:ascii="宋体" w:hAnsi="宋体" w:cs="宋体"/>
          <w:b w:val="0"/>
        </w:rPr>
        <w:t>三、授权委托书</w:t>
      </w:r>
      <w:bookmarkEnd w:id="54"/>
      <w:bookmarkEnd w:id="55"/>
      <w:bookmarkEnd w:id="56"/>
      <w:bookmarkEnd w:id="57"/>
      <w:bookmarkEnd w:id="58"/>
      <w:bookmarkEnd w:id="59"/>
      <w:bookmarkEnd w:id="60"/>
    </w:p>
    <w:p w14:paraId="26F673C7">
      <w:pPr>
        <w:spacing w:line="440" w:lineRule="exact"/>
        <w:rPr>
          <w:rFonts w:ascii="宋体" w:hAnsi="宋体" w:cs="宋体"/>
          <w:szCs w:val="21"/>
        </w:rPr>
      </w:pPr>
    </w:p>
    <w:p w14:paraId="788A5EA7">
      <w:pPr>
        <w:topLinePunct/>
        <w:spacing w:line="440" w:lineRule="exact"/>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p>
    <w:p w14:paraId="2CD5C15D">
      <w:pPr>
        <w:topLinePunct/>
        <w:spacing w:line="440" w:lineRule="exact"/>
        <w:ind w:left="0" w:leftChars="0" w:firstLine="0" w:firstLineChars="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1F3E1D09">
      <w:pPr>
        <w:spacing w:line="440" w:lineRule="exact"/>
        <w:ind w:left="0" w:leftChars="0"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p>
    <w:p w14:paraId="677F3BAC">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0693D3E0">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D9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1D513F46">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7494CE83">
            <w:pPr>
              <w:jc w:val="center"/>
              <w:rPr>
                <w:rFonts w:ascii="宋体" w:hAnsi="宋体" w:cs="宋体"/>
                <w:color w:val="000000"/>
                <w:sz w:val="28"/>
                <w:szCs w:val="28"/>
              </w:rPr>
            </w:pPr>
          </w:p>
          <w:p w14:paraId="6107C894">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231BD56B">
            <w:pPr>
              <w:ind w:left="-55"/>
              <w:jc w:val="center"/>
              <w:rPr>
                <w:rFonts w:ascii="宋体" w:hAnsi="宋体" w:cs="宋体"/>
                <w:bCs/>
                <w:color w:val="000000"/>
                <w:szCs w:val="21"/>
              </w:rPr>
            </w:pPr>
          </w:p>
        </w:tc>
      </w:tr>
    </w:tbl>
    <w:p w14:paraId="3D9DB232">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1FA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29B8E6A8">
            <w:pPr>
              <w:adjustRightInd w:val="0"/>
              <w:spacing w:line="312" w:lineRule="atLeast"/>
              <w:jc w:val="center"/>
              <w:textAlignment w:val="baseline"/>
              <w:rPr>
                <w:rFonts w:ascii="宋体" w:hAnsi="宋体" w:cs="宋体"/>
                <w:color w:val="000000"/>
                <w:sz w:val="28"/>
                <w:szCs w:val="28"/>
              </w:rPr>
            </w:pPr>
          </w:p>
          <w:p w14:paraId="1B2E87C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3610CF14">
            <w:pPr>
              <w:adjustRightInd w:val="0"/>
              <w:spacing w:line="312" w:lineRule="atLeast"/>
              <w:jc w:val="center"/>
              <w:textAlignment w:val="baseline"/>
              <w:rPr>
                <w:rFonts w:ascii="宋体" w:hAnsi="宋体" w:cs="宋体"/>
                <w:color w:val="000000"/>
                <w:sz w:val="28"/>
                <w:szCs w:val="28"/>
              </w:rPr>
            </w:pPr>
          </w:p>
          <w:p w14:paraId="47FB0199">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630595A">
            <w:pPr>
              <w:adjustRightInd w:val="0"/>
              <w:spacing w:line="312" w:lineRule="atLeast"/>
              <w:textAlignment w:val="baseline"/>
              <w:rPr>
                <w:rFonts w:ascii="宋体" w:hAnsi="宋体" w:cs="宋体"/>
                <w:color w:val="000000"/>
              </w:rPr>
            </w:pPr>
          </w:p>
        </w:tc>
      </w:tr>
    </w:tbl>
    <w:p w14:paraId="1BAF239D">
      <w:pPr>
        <w:spacing w:line="440" w:lineRule="exact"/>
        <w:ind w:firstLine="420" w:firstLineChars="200"/>
        <w:jc w:val="right"/>
        <w:rPr>
          <w:rFonts w:ascii="宋体" w:hAnsi="宋体" w:cs="宋体"/>
          <w:szCs w:val="21"/>
        </w:rPr>
      </w:pPr>
    </w:p>
    <w:p w14:paraId="491CC07C">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A4754D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42CEE69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0DC13A5">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6A61D57">
      <w:pPr>
        <w:spacing w:line="440" w:lineRule="exact"/>
        <w:ind w:firstLine="2310" w:firstLineChars="1100"/>
        <w:rPr>
          <w:rFonts w:ascii="宋体" w:hAnsi="宋体" w:cs="宋体"/>
          <w:szCs w:val="21"/>
        </w:rPr>
      </w:pPr>
    </w:p>
    <w:p w14:paraId="1F86B692">
      <w:pPr>
        <w:spacing w:line="480" w:lineRule="exact"/>
        <w:rPr>
          <w:rFonts w:ascii="宋体" w:hAnsi="宋体" w:cs="宋体"/>
          <w:sz w:val="24"/>
        </w:rPr>
      </w:pPr>
      <w:bookmarkStart w:id="61" w:name="_Toc357696414"/>
      <w:bookmarkStart w:id="62" w:name="_Toc357681974"/>
      <w:bookmarkStart w:id="63" w:name="_Toc357693996"/>
      <w:bookmarkStart w:id="64" w:name="_Toc357675755"/>
      <w:bookmarkStart w:id="65" w:name="_Toc357682077"/>
      <w:bookmarkStart w:id="66" w:name="_Toc357682118"/>
      <w:bookmarkStart w:id="67" w:name="_Toc357693186"/>
      <w:bookmarkStart w:id="68" w:name="_Toc357695535"/>
    </w:p>
    <w:p w14:paraId="70FC8EEA">
      <w:pPr>
        <w:pStyle w:val="248"/>
        <w:jc w:val="center"/>
        <w:rPr>
          <w:rFonts w:ascii="宋体" w:hAnsi="宋体" w:eastAsia="宋体"/>
        </w:rPr>
      </w:pPr>
      <w:r>
        <w:rPr>
          <w:rFonts w:hint="eastAsia" w:ascii="宋体" w:hAnsi="宋体" w:eastAsia="宋体"/>
        </w:rPr>
        <w:t>四、合同条款偏离表</w:t>
      </w:r>
    </w:p>
    <w:p w14:paraId="67FF83C6">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97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57FDDBA">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2310" w:type="dxa"/>
            <w:vAlign w:val="center"/>
          </w:tcPr>
          <w:p w14:paraId="0D32377E">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2310" w:type="dxa"/>
            <w:vAlign w:val="center"/>
          </w:tcPr>
          <w:p w14:paraId="4959F9D0">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2310" w:type="dxa"/>
            <w:vAlign w:val="center"/>
          </w:tcPr>
          <w:p w14:paraId="543A6229">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1515" w:type="dxa"/>
            <w:vAlign w:val="center"/>
          </w:tcPr>
          <w:p w14:paraId="1C23A9C5">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1A05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A130DB3">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2310" w:type="dxa"/>
            <w:vAlign w:val="center"/>
          </w:tcPr>
          <w:p w14:paraId="20695D11">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DC266DE">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04988F5B">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310EA5DD">
            <w:pPr>
              <w:pStyle w:val="5"/>
              <w:spacing w:line="360" w:lineRule="auto"/>
              <w:ind w:leftChars="-22" w:hanging="46" w:hangingChars="22"/>
              <w:jc w:val="center"/>
              <w:rPr>
                <w:rFonts w:ascii="宋体" w:hAnsi="宋体" w:cs="宋体"/>
                <w:color w:val="000000"/>
                <w:kern w:val="2"/>
                <w:sz w:val="21"/>
                <w:szCs w:val="21"/>
              </w:rPr>
            </w:pPr>
          </w:p>
        </w:tc>
      </w:tr>
      <w:tr w14:paraId="46DA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24E7E6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2310" w:type="dxa"/>
            <w:vAlign w:val="center"/>
          </w:tcPr>
          <w:p w14:paraId="17763242">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956434E">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2E201186">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409D766F">
            <w:pPr>
              <w:pStyle w:val="5"/>
              <w:spacing w:line="360" w:lineRule="auto"/>
              <w:ind w:leftChars="-22" w:hanging="46" w:hangingChars="22"/>
              <w:jc w:val="center"/>
              <w:rPr>
                <w:rFonts w:ascii="宋体" w:hAnsi="宋体" w:cs="宋体"/>
                <w:color w:val="000000"/>
                <w:kern w:val="2"/>
                <w:sz w:val="21"/>
                <w:szCs w:val="21"/>
              </w:rPr>
            </w:pPr>
          </w:p>
        </w:tc>
      </w:tr>
      <w:tr w14:paraId="4F9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11DC15C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2310" w:type="dxa"/>
            <w:vAlign w:val="center"/>
          </w:tcPr>
          <w:p w14:paraId="02B888BB">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03311DEC">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5A26C4C5">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117882A0">
            <w:pPr>
              <w:pStyle w:val="5"/>
              <w:spacing w:line="360" w:lineRule="auto"/>
              <w:ind w:leftChars="-22" w:hanging="46" w:hangingChars="22"/>
              <w:jc w:val="center"/>
              <w:rPr>
                <w:rFonts w:ascii="宋体" w:hAnsi="宋体" w:cs="宋体"/>
                <w:color w:val="000000"/>
                <w:kern w:val="2"/>
                <w:sz w:val="21"/>
                <w:szCs w:val="21"/>
              </w:rPr>
            </w:pPr>
          </w:p>
        </w:tc>
      </w:tr>
      <w:tr w14:paraId="32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C5F131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2310" w:type="dxa"/>
            <w:vAlign w:val="center"/>
          </w:tcPr>
          <w:p w14:paraId="467E4FA4">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1506DA38">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BB15EF7">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0F5FD671">
            <w:pPr>
              <w:pStyle w:val="5"/>
              <w:spacing w:line="360" w:lineRule="auto"/>
              <w:ind w:leftChars="-22" w:hanging="46" w:hangingChars="22"/>
              <w:jc w:val="center"/>
              <w:rPr>
                <w:rFonts w:ascii="宋体" w:hAnsi="宋体" w:cs="宋体"/>
                <w:color w:val="000000"/>
                <w:kern w:val="2"/>
                <w:sz w:val="21"/>
                <w:szCs w:val="21"/>
              </w:rPr>
            </w:pPr>
          </w:p>
        </w:tc>
      </w:tr>
    </w:tbl>
    <w:p w14:paraId="793560D7">
      <w:pPr>
        <w:rPr>
          <w:rFonts w:ascii="宋体" w:hAnsi="宋体" w:cs="宋体"/>
          <w:bCs/>
          <w:color w:val="000000"/>
          <w:szCs w:val="21"/>
        </w:rPr>
      </w:pPr>
    </w:p>
    <w:p w14:paraId="4681A758">
      <w:pPr>
        <w:rPr>
          <w:rFonts w:ascii="宋体" w:hAnsi="宋体" w:cs="宋体"/>
          <w:bCs/>
          <w:color w:val="000000"/>
          <w:szCs w:val="21"/>
        </w:rPr>
      </w:pPr>
      <w:r>
        <w:rPr>
          <w:rFonts w:hint="eastAsia" w:ascii="宋体" w:hAnsi="宋体" w:cs="宋体"/>
          <w:bCs/>
          <w:color w:val="000000"/>
          <w:szCs w:val="21"/>
        </w:rPr>
        <w:t>注：</w:t>
      </w:r>
    </w:p>
    <w:p w14:paraId="323AE3D4">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59E5683B">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4F602B70">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275D6C5E">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13AC2649">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7EF93E54">
      <w:pPr>
        <w:rPr>
          <w:rFonts w:ascii="宋体" w:hAnsi="宋体" w:cs="宋体"/>
        </w:rPr>
      </w:pPr>
    </w:p>
    <w:p w14:paraId="4711E4EF">
      <w:pPr>
        <w:rPr>
          <w:rFonts w:ascii="宋体" w:hAnsi="宋体" w:cs="宋体"/>
        </w:rPr>
      </w:pPr>
    </w:p>
    <w:p w14:paraId="275CF9CF">
      <w:pPr>
        <w:rPr>
          <w:rFonts w:ascii="宋体" w:hAnsi="宋体" w:cs="宋体"/>
        </w:rPr>
      </w:pPr>
    </w:p>
    <w:p w14:paraId="19A3F4F9">
      <w:pPr>
        <w:rPr>
          <w:rFonts w:ascii="宋体" w:hAnsi="宋体" w:cs="宋体"/>
        </w:rPr>
      </w:pPr>
    </w:p>
    <w:p w14:paraId="77552CC2">
      <w:pPr>
        <w:rPr>
          <w:rFonts w:ascii="宋体" w:hAnsi="宋体" w:cs="宋体"/>
        </w:rPr>
      </w:pPr>
    </w:p>
    <w:p w14:paraId="0458199D">
      <w:pPr>
        <w:rPr>
          <w:rFonts w:ascii="宋体" w:hAnsi="宋体" w:cs="宋体"/>
        </w:rPr>
      </w:pPr>
    </w:p>
    <w:p w14:paraId="2B3AE111">
      <w:pPr>
        <w:rPr>
          <w:rFonts w:ascii="宋体" w:hAnsi="宋体" w:cs="宋体"/>
        </w:rPr>
      </w:pPr>
    </w:p>
    <w:p w14:paraId="713AA3BA">
      <w:pPr>
        <w:spacing w:line="440" w:lineRule="exact"/>
        <w:ind w:left="0" w:leftChars="0"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6DF32524">
      <w:pPr>
        <w:spacing w:line="440" w:lineRule="exact"/>
        <w:ind w:left="0" w:leftChars="0"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74366056">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5FC105E">
      <w:pPr>
        <w:rPr>
          <w:rFonts w:ascii="宋体" w:hAnsi="宋体" w:cs="宋体"/>
        </w:rPr>
      </w:pPr>
      <w:r>
        <w:rPr>
          <w:rFonts w:hint="eastAsia" w:ascii="宋体" w:hAnsi="宋体" w:cs="宋体"/>
        </w:rPr>
        <w:br w:type="page"/>
      </w:r>
    </w:p>
    <w:p w14:paraId="2A2177E0">
      <w:pPr>
        <w:pStyle w:val="248"/>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5DE4BBF0">
      <w:pPr>
        <w:pStyle w:val="231"/>
        <w:rPr>
          <w:rFonts w:ascii="宋体" w:hAnsi="宋体" w:cs="宋体"/>
          <w:b/>
          <w:sz w:val="21"/>
          <w:szCs w:val="21"/>
        </w:rPr>
      </w:pPr>
    </w:p>
    <w:p w14:paraId="26C92F78">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p>
    <w:p w14:paraId="28465A17">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1FA78CEC">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6F002AEA">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39D62F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3023F8A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74ECA12E">
      <w:pPr>
        <w:rPr>
          <w:rFonts w:ascii="宋体" w:hAnsi="宋体" w:cs="宋体"/>
        </w:rPr>
      </w:pPr>
    </w:p>
    <w:tbl>
      <w:tblPr>
        <w:tblStyle w:val="77"/>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82"/>
        <w:gridCol w:w="1384"/>
        <w:gridCol w:w="1157"/>
        <w:gridCol w:w="1559"/>
      </w:tblGrid>
      <w:tr w14:paraId="3B20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A48C577">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2782" w:type="dxa"/>
            <w:vAlign w:val="center"/>
          </w:tcPr>
          <w:p w14:paraId="32C61F2D">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384" w:type="dxa"/>
            <w:vAlign w:val="center"/>
          </w:tcPr>
          <w:p w14:paraId="099E472B">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240E0FD1">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09A693BF">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41B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F1215E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2782" w:type="dxa"/>
            <w:vAlign w:val="center"/>
          </w:tcPr>
          <w:p w14:paraId="473634DB">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384" w:type="dxa"/>
            <w:vAlign w:val="center"/>
          </w:tcPr>
          <w:p w14:paraId="5DF1382B">
            <w:pPr>
              <w:pStyle w:val="5"/>
              <w:spacing w:line="360" w:lineRule="auto"/>
              <w:ind w:firstLine="0" w:firstLineChars="0"/>
              <w:jc w:val="center"/>
              <w:rPr>
                <w:rFonts w:ascii="宋体" w:hAnsi="宋体" w:cs="宋体"/>
                <w:kern w:val="2"/>
                <w:sz w:val="21"/>
                <w:szCs w:val="21"/>
              </w:rPr>
            </w:pPr>
          </w:p>
        </w:tc>
        <w:tc>
          <w:tcPr>
            <w:tcW w:w="1157" w:type="dxa"/>
            <w:vAlign w:val="center"/>
          </w:tcPr>
          <w:p w14:paraId="4DDB6AB2">
            <w:pPr>
              <w:pStyle w:val="5"/>
              <w:spacing w:line="360" w:lineRule="auto"/>
              <w:ind w:firstLine="0" w:firstLineChars="0"/>
              <w:jc w:val="center"/>
              <w:rPr>
                <w:rFonts w:ascii="宋体" w:hAnsi="宋体" w:cs="宋体"/>
                <w:kern w:val="2"/>
                <w:sz w:val="21"/>
                <w:szCs w:val="21"/>
              </w:rPr>
            </w:pPr>
          </w:p>
        </w:tc>
        <w:tc>
          <w:tcPr>
            <w:tcW w:w="1559" w:type="dxa"/>
            <w:vAlign w:val="center"/>
          </w:tcPr>
          <w:p w14:paraId="4D72EE5A">
            <w:pPr>
              <w:pStyle w:val="5"/>
              <w:spacing w:line="360" w:lineRule="auto"/>
              <w:ind w:firstLine="0" w:firstLineChars="0"/>
              <w:jc w:val="center"/>
              <w:rPr>
                <w:rFonts w:ascii="宋体" w:hAnsi="宋体" w:cs="宋体"/>
                <w:kern w:val="2"/>
                <w:sz w:val="21"/>
                <w:szCs w:val="21"/>
              </w:rPr>
            </w:pPr>
          </w:p>
        </w:tc>
      </w:tr>
      <w:tr w14:paraId="7692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2783B80">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2782" w:type="dxa"/>
            <w:vAlign w:val="center"/>
          </w:tcPr>
          <w:p w14:paraId="1723748B">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384" w:type="dxa"/>
            <w:vAlign w:val="center"/>
          </w:tcPr>
          <w:p w14:paraId="6407E31A">
            <w:pPr>
              <w:pStyle w:val="5"/>
              <w:spacing w:line="360" w:lineRule="auto"/>
              <w:ind w:firstLine="0" w:firstLineChars="0"/>
              <w:jc w:val="center"/>
              <w:rPr>
                <w:rFonts w:ascii="宋体" w:hAnsi="宋体" w:cs="宋体"/>
                <w:kern w:val="2"/>
                <w:sz w:val="21"/>
                <w:szCs w:val="21"/>
              </w:rPr>
            </w:pPr>
          </w:p>
        </w:tc>
        <w:tc>
          <w:tcPr>
            <w:tcW w:w="1157" w:type="dxa"/>
            <w:vAlign w:val="center"/>
          </w:tcPr>
          <w:p w14:paraId="7E26911A">
            <w:pPr>
              <w:pStyle w:val="5"/>
              <w:spacing w:line="360" w:lineRule="auto"/>
              <w:ind w:firstLine="0" w:firstLineChars="0"/>
              <w:jc w:val="center"/>
              <w:rPr>
                <w:rFonts w:ascii="宋体" w:hAnsi="宋体" w:cs="宋体"/>
                <w:kern w:val="2"/>
                <w:sz w:val="21"/>
                <w:szCs w:val="21"/>
              </w:rPr>
            </w:pPr>
          </w:p>
        </w:tc>
        <w:tc>
          <w:tcPr>
            <w:tcW w:w="1559" w:type="dxa"/>
            <w:vAlign w:val="center"/>
          </w:tcPr>
          <w:p w14:paraId="0B665BE2">
            <w:pPr>
              <w:pStyle w:val="5"/>
              <w:spacing w:line="360" w:lineRule="auto"/>
              <w:ind w:firstLine="0" w:firstLineChars="0"/>
              <w:jc w:val="center"/>
              <w:rPr>
                <w:rFonts w:ascii="宋体" w:hAnsi="宋体" w:cs="宋体"/>
                <w:kern w:val="2"/>
                <w:sz w:val="21"/>
                <w:szCs w:val="21"/>
              </w:rPr>
            </w:pPr>
          </w:p>
        </w:tc>
      </w:tr>
      <w:tr w14:paraId="245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05E880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2782" w:type="dxa"/>
            <w:vAlign w:val="center"/>
          </w:tcPr>
          <w:p w14:paraId="17DD2FE6">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384" w:type="dxa"/>
            <w:vAlign w:val="center"/>
          </w:tcPr>
          <w:p w14:paraId="02E0D897">
            <w:pPr>
              <w:pStyle w:val="5"/>
              <w:spacing w:line="360" w:lineRule="auto"/>
              <w:ind w:firstLine="0" w:firstLineChars="0"/>
              <w:jc w:val="center"/>
              <w:rPr>
                <w:rFonts w:ascii="宋体" w:hAnsi="宋体" w:cs="宋体"/>
                <w:kern w:val="2"/>
                <w:sz w:val="21"/>
                <w:szCs w:val="21"/>
              </w:rPr>
            </w:pPr>
          </w:p>
        </w:tc>
        <w:tc>
          <w:tcPr>
            <w:tcW w:w="1157" w:type="dxa"/>
            <w:vAlign w:val="center"/>
          </w:tcPr>
          <w:p w14:paraId="4A2C782E">
            <w:pPr>
              <w:pStyle w:val="5"/>
              <w:spacing w:line="360" w:lineRule="auto"/>
              <w:ind w:firstLine="0" w:firstLineChars="0"/>
              <w:jc w:val="center"/>
              <w:rPr>
                <w:rFonts w:ascii="宋体" w:hAnsi="宋体" w:cs="宋体"/>
                <w:kern w:val="2"/>
                <w:sz w:val="21"/>
                <w:szCs w:val="21"/>
              </w:rPr>
            </w:pPr>
          </w:p>
        </w:tc>
        <w:tc>
          <w:tcPr>
            <w:tcW w:w="1559" w:type="dxa"/>
            <w:vAlign w:val="center"/>
          </w:tcPr>
          <w:p w14:paraId="14ACAFB1">
            <w:pPr>
              <w:pStyle w:val="5"/>
              <w:spacing w:line="360" w:lineRule="auto"/>
              <w:ind w:firstLine="0" w:firstLineChars="0"/>
              <w:jc w:val="center"/>
              <w:rPr>
                <w:rFonts w:ascii="宋体" w:hAnsi="宋体" w:cs="宋体"/>
                <w:kern w:val="2"/>
                <w:sz w:val="21"/>
                <w:szCs w:val="21"/>
              </w:rPr>
            </w:pPr>
          </w:p>
        </w:tc>
      </w:tr>
      <w:tr w14:paraId="590B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1EAF5C0">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2782" w:type="dxa"/>
            <w:vAlign w:val="center"/>
          </w:tcPr>
          <w:p w14:paraId="02DE93F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384" w:type="dxa"/>
            <w:vAlign w:val="center"/>
          </w:tcPr>
          <w:p w14:paraId="347990B8">
            <w:pPr>
              <w:pStyle w:val="5"/>
              <w:spacing w:line="360" w:lineRule="auto"/>
              <w:ind w:firstLine="0" w:firstLineChars="0"/>
              <w:jc w:val="center"/>
              <w:rPr>
                <w:rFonts w:ascii="宋体" w:hAnsi="宋体" w:cs="宋体"/>
                <w:kern w:val="2"/>
                <w:sz w:val="21"/>
                <w:szCs w:val="21"/>
              </w:rPr>
            </w:pPr>
          </w:p>
        </w:tc>
        <w:tc>
          <w:tcPr>
            <w:tcW w:w="1157" w:type="dxa"/>
            <w:vAlign w:val="center"/>
          </w:tcPr>
          <w:p w14:paraId="676DF5C3">
            <w:pPr>
              <w:pStyle w:val="5"/>
              <w:spacing w:line="360" w:lineRule="auto"/>
              <w:ind w:firstLine="0" w:firstLineChars="0"/>
              <w:jc w:val="center"/>
              <w:rPr>
                <w:rFonts w:ascii="宋体" w:hAnsi="宋体" w:cs="宋体"/>
                <w:kern w:val="2"/>
                <w:sz w:val="21"/>
                <w:szCs w:val="21"/>
              </w:rPr>
            </w:pPr>
          </w:p>
        </w:tc>
        <w:tc>
          <w:tcPr>
            <w:tcW w:w="1559" w:type="dxa"/>
            <w:vAlign w:val="center"/>
          </w:tcPr>
          <w:p w14:paraId="794AAF33">
            <w:pPr>
              <w:pStyle w:val="5"/>
              <w:spacing w:line="360" w:lineRule="auto"/>
              <w:ind w:firstLine="0" w:firstLineChars="0"/>
              <w:jc w:val="center"/>
              <w:rPr>
                <w:rFonts w:ascii="宋体" w:hAnsi="宋体" w:cs="宋体"/>
                <w:kern w:val="2"/>
                <w:sz w:val="21"/>
                <w:szCs w:val="21"/>
              </w:rPr>
            </w:pPr>
          </w:p>
        </w:tc>
      </w:tr>
      <w:tr w14:paraId="674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72FDD3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2782" w:type="dxa"/>
            <w:vAlign w:val="center"/>
          </w:tcPr>
          <w:p w14:paraId="0F29A35E">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384" w:type="dxa"/>
            <w:vAlign w:val="center"/>
          </w:tcPr>
          <w:p w14:paraId="215D037C">
            <w:pPr>
              <w:pStyle w:val="5"/>
              <w:spacing w:line="360" w:lineRule="auto"/>
              <w:ind w:firstLine="0" w:firstLineChars="0"/>
              <w:jc w:val="center"/>
              <w:rPr>
                <w:rFonts w:ascii="宋体" w:hAnsi="宋体" w:cs="宋体"/>
                <w:kern w:val="2"/>
                <w:sz w:val="21"/>
                <w:szCs w:val="21"/>
              </w:rPr>
            </w:pPr>
          </w:p>
        </w:tc>
        <w:tc>
          <w:tcPr>
            <w:tcW w:w="1157" w:type="dxa"/>
            <w:vAlign w:val="center"/>
          </w:tcPr>
          <w:p w14:paraId="11B1BE6F">
            <w:pPr>
              <w:pStyle w:val="5"/>
              <w:spacing w:line="360" w:lineRule="auto"/>
              <w:ind w:firstLine="0" w:firstLineChars="0"/>
              <w:jc w:val="center"/>
              <w:rPr>
                <w:rFonts w:ascii="宋体" w:hAnsi="宋体" w:cs="宋体"/>
                <w:kern w:val="2"/>
                <w:sz w:val="21"/>
                <w:szCs w:val="21"/>
              </w:rPr>
            </w:pPr>
          </w:p>
        </w:tc>
        <w:tc>
          <w:tcPr>
            <w:tcW w:w="1559" w:type="dxa"/>
            <w:vAlign w:val="center"/>
          </w:tcPr>
          <w:p w14:paraId="6802F72C">
            <w:pPr>
              <w:pStyle w:val="5"/>
              <w:spacing w:line="360" w:lineRule="auto"/>
              <w:ind w:firstLine="0" w:firstLineChars="0"/>
              <w:jc w:val="center"/>
              <w:rPr>
                <w:rFonts w:ascii="宋体" w:hAnsi="宋体" w:cs="宋体"/>
                <w:kern w:val="2"/>
                <w:sz w:val="21"/>
                <w:szCs w:val="21"/>
              </w:rPr>
            </w:pPr>
          </w:p>
        </w:tc>
      </w:tr>
    </w:tbl>
    <w:p w14:paraId="344D69C0">
      <w:pPr>
        <w:rPr>
          <w:rFonts w:ascii="宋体" w:hAnsi="宋体" w:cs="宋体"/>
        </w:rPr>
      </w:pPr>
    </w:p>
    <w:p w14:paraId="7D66CD42">
      <w:pPr>
        <w:ind w:right="-313" w:rightChars="-149" w:firstLine="364" w:firstLineChars="192"/>
        <w:jc w:val="right"/>
        <w:rPr>
          <w:rFonts w:ascii="宋体" w:hAnsi="宋体" w:cs="宋体"/>
          <w:bCs/>
          <w:spacing w:val="-10"/>
          <w:szCs w:val="21"/>
        </w:rPr>
      </w:pPr>
      <w:r>
        <w:rPr>
          <w:rFonts w:hint="eastAsia" w:ascii="宋体" w:hAnsi="宋体" w:cs="宋体"/>
          <w:bCs/>
          <w:spacing w:val="-10"/>
          <w:szCs w:val="21"/>
        </w:rPr>
        <w:br w:type="page"/>
      </w:r>
    </w:p>
    <w:p w14:paraId="505F3EF3">
      <w:pPr>
        <w:pStyle w:val="248"/>
        <w:jc w:val="center"/>
        <w:rPr>
          <w:rFonts w:ascii="宋体" w:hAnsi="宋体" w:eastAsia="宋体"/>
        </w:rPr>
      </w:pPr>
      <w:r>
        <w:rPr>
          <w:rFonts w:hint="eastAsia" w:ascii="宋体" w:hAnsi="宋体" w:eastAsia="宋体"/>
        </w:rPr>
        <w:t>六、信誉承诺函</w:t>
      </w:r>
    </w:p>
    <w:p w14:paraId="7EE0E7C1">
      <w:pPr>
        <w:spacing w:after="156" w:afterLines="50" w:line="400" w:lineRule="exact"/>
        <w:jc w:val="center"/>
        <w:rPr>
          <w:rFonts w:ascii="宋体" w:hAnsi="宋体" w:cs="宋体"/>
          <w:spacing w:val="-2"/>
          <w:szCs w:val="21"/>
        </w:rPr>
      </w:pPr>
      <w:r>
        <w:rPr>
          <w:rFonts w:hint="eastAsia" w:ascii="宋体" w:hAnsi="宋体" w:cs="宋体"/>
          <w:spacing w:val="-2"/>
          <w:szCs w:val="21"/>
        </w:rPr>
        <w:t xml:space="preserve">    </w:t>
      </w:r>
    </w:p>
    <w:p w14:paraId="6D88B81F">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1070548A">
      <w:pPr>
        <w:rPr>
          <w:rFonts w:ascii="宋体" w:hAnsi="宋体" w:cs="宋体"/>
          <w:spacing w:val="-2"/>
          <w:szCs w:val="21"/>
        </w:rPr>
      </w:pPr>
      <w:r>
        <w:rPr>
          <w:rFonts w:hint="eastAsia" w:ascii="宋体" w:hAnsi="宋体" w:cs="宋体"/>
          <w:spacing w:val="-2"/>
          <w:szCs w:val="21"/>
          <w:lang w:eastAsia="zh-CN"/>
        </w:rPr>
        <w:t>数字江门网络建设有限公司园区系统建设项目</w:t>
      </w:r>
      <w:r>
        <w:rPr>
          <w:rFonts w:hint="eastAsia" w:ascii="宋体" w:hAnsi="宋体" w:cs="宋体"/>
          <w:spacing w:val="-2"/>
          <w:szCs w:val="21"/>
        </w:rPr>
        <w:t xml:space="preserve">的响应不存在下列情形： </w:t>
      </w:r>
    </w:p>
    <w:p w14:paraId="299233E0">
      <w:pPr>
        <w:rPr>
          <w:rFonts w:ascii="宋体" w:hAnsi="宋体" w:cs="宋体"/>
          <w:spacing w:val="-2"/>
          <w:szCs w:val="21"/>
        </w:rPr>
      </w:pPr>
    </w:p>
    <w:p w14:paraId="778E6A34">
      <w:pPr>
        <w:rPr>
          <w:rFonts w:ascii="宋体" w:hAnsi="宋体" w:cs="宋体"/>
          <w:spacing w:val="-2"/>
          <w:szCs w:val="21"/>
        </w:rPr>
      </w:pPr>
      <w:r>
        <w:rPr>
          <w:rFonts w:hint="eastAsia" w:ascii="宋体" w:hAnsi="宋体" w:cs="宋体"/>
          <w:spacing w:val="-2"/>
          <w:szCs w:val="21"/>
        </w:rPr>
        <w:t>（1） 供应商被责令停业的；</w:t>
      </w:r>
    </w:p>
    <w:p w14:paraId="7D37D0B5">
      <w:pPr>
        <w:rPr>
          <w:rFonts w:ascii="宋体" w:hAnsi="宋体" w:cs="宋体"/>
          <w:spacing w:val="-2"/>
          <w:szCs w:val="21"/>
        </w:rPr>
      </w:pPr>
      <w:r>
        <w:rPr>
          <w:rFonts w:hint="eastAsia" w:ascii="宋体" w:hAnsi="宋体" w:cs="宋体"/>
          <w:spacing w:val="-2"/>
          <w:szCs w:val="21"/>
        </w:rPr>
        <w:t>（2） 供应商被暂停或取消投标资格的；</w:t>
      </w:r>
    </w:p>
    <w:p w14:paraId="68515A07">
      <w:pPr>
        <w:rPr>
          <w:rFonts w:ascii="宋体" w:hAnsi="宋体" w:cs="宋体"/>
          <w:spacing w:val="-2"/>
          <w:szCs w:val="21"/>
        </w:rPr>
      </w:pPr>
      <w:r>
        <w:rPr>
          <w:rFonts w:hint="eastAsia" w:ascii="宋体" w:hAnsi="宋体" w:cs="宋体"/>
          <w:spacing w:val="-2"/>
          <w:szCs w:val="21"/>
        </w:rPr>
        <w:t>（3） 供应商财产被接管或冻结的；</w:t>
      </w:r>
    </w:p>
    <w:p w14:paraId="05C99D2B">
      <w:pPr>
        <w:rPr>
          <w:rFonts w:ascii="宋体" w:hAnsi="宋体" w:cs="宋体"/>
          <w:spacing w:val="-2"/>
          <w:szCs w:val="21"/>
        </w:rPr>
      </w:pPr>
      <w:r>
        <w:rPr>
          <w:rFonts w:hint="eastAsia" w:ascii="宋体" w:hAnsi="宋体" w:cs="宋体"/>
          <w:spacing w:val="-2"/>
          <w:szCs w:val="21"/>
        </w:rPr>
        <w:t>（4） 供应商在最近三年内有骗取中标或严重违约的；</w:t>
      </w:r>
    </w:p>
    <w:p w14:paraId="3146B576">
      <w:pPr>
        <w:rPr>
          <w:rFonts w:ascii="宋体" w:hAnsi="宋体" w:cs="宋体"/>
          <w:spacing w:val="-2"/>
          <w:szCs w:val="21"/>
        </w:rPr>
      </w:pPr>
      <w:r>
        <w:rPr>
          <w:rFonts w:hint="eastAsia" w:ascii="宋体" w:hAnsi="宋体" w:cs="宋体"/>
          <w:spacing w:val="-2"/>
          <w:szCs w:val="21"/>
        </w:rPr>
        <w:t>（5） 供应商投标产品在使用过程中出现过重大质量问题的；</w:t>
      </w:r>
    </w:p>
    <w:p w14:paraId="22AC12F8">
      <w:pPr>
        <w:rPr>
          <w:rFonts w:ascii="宋体" w:hAnsi="宋体" w:cs="宋体"/>
          <w:spacing w:val="-2"/>
          <w:szCs w:val="21"/>
        </w:rPr>
      </w:pPr>
      <w:r>
        <w:rPr>
          <w:rFonts w:hint="eastAsia" w:ascii="宋体" w:hAnsi="宋体" w:cs="宋体"/>
          <w:spacing w:val="-2"/>
          <w:szCs w:val="21"/>
        </w:rPr>
        <w:t xml:space="preserve">（6） 为本次比选项目前期准备提供设计或咨询服务的； </w:t>
      </w:r>
    </w:p>
    <w:p w14:paraId="012F433B">
      <w:pPr>
        <w:rPr>
          <w:rFonts w:ascii="宋体" w:hAnsi="宋体" w:cs="宋体"/>
          <w:spacing w:val="-2"/>
          <w:szCs w:val="21"/>
        </w:rPr>
      </w:pPr>
      <w:r>
        <w:rPr>
          <w:rFonts w:hint="eastAsia" w:ascii="宋体" w:hAnsi="宋体" w:cs="宋体"/>
          <w:spacing w:val="-2"/>
          <w:szCs w:val="21"/>
        </w:rPr>
        <w:t>（7） 为本次比选项目的监理人；（监理项目）</w:t>
      </w:r>
    </w:p>
    <w:p w14:paraId="0CF7CD43">
      <w:pPr>
        <w:rPr>
          <w:rFonts w:ascii="宋体" w:hAnsi="宋体" w:cs="宋体"/>
          <w:spacing w:val="-2"/>
          <w:szCs w:val="21"/>
        </w:rPr>
      </w:pPr>
      <w:r>
        <w:rPr>
          <w:rFonts w:hint="eastAsia" w:ascii="宋体" w:hAnsi="宋体" w:cs="宋体"/>
          <w:spacing w:val="-2"/>
          <w:szCs w:val="21"/>
        </w:rPr>
        <w:t>（8） 为本次比选项目的代建人；（施工项目）</w:t>
      </w:r>
    </w:p>
    <w:p w14:paraId="29D17B64">
      <w:pPr>
        <w:rPr>
          <w:rFonts w:ascii="宋体" w:hAnsi="宋体" w:cs="宋体"/>
          <w:spacing w:val="-2"/>
          <w:szCs w:val="21"/>
        </w:rPr>
      </w:pPr>
      <w:r>
        <w:rPr>
          <w:rFonts w:hint="eastAsia" w:ascii="宋体" w:hAnsi="宋体" w:cs="宋体"/>
          <w:spacing w:val="-2"/>
          <w:szCs w:val="21"/>
        </w:rPr>
        <w:t xml:space="preserve">（9） 为本次比选项目提供招标代理服务的； </w:t>
      </w:r>
    </w:p>
    <w:p w14:paraId="51BBDCDC">
      <w:pPr>
        <w:spacing w:line="276" w:lineRule="auto"/>
        <w:rPr>
          <w:rFonts w:hint="eastAsia"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0A8F1AF5">
      <w:pPr>
        <w:spacing w:line="276" w:lineRule="auto"/>
        <w:rPr>
          <w:rFonts w:hint="eastAsia" w:ascii="宋体" w:hAnsi="宋体" w:cs="宋体"/>
          <w:spacing w:val="-2"/>
          <w:szCs w:val="21"/>
        </w:rPr>
      </w:pPr>
    </w:p>
    <w:p w14:paraId="4096FF6B">
      <w:pPr>
        <w:spacing w:line="360" w:lineRule="auto"/>
        <w:jc w:val="right"/>
        <w:rPr>
          <w:rFonts w:ascii="宋体" w:hAnsi="宋体" w:cs="宋体"/>
          <w:spacing w:val="-2"/>
          <w:szCs w:val="21"/>
        </w:rPr>
      </w:pPr>
    </w:p>
    <w:p w14:paraId="247233DB">
      <w:pPr>
        <w:spacing w:line="360" w:lineRule="auto"/>
        <w:jc w:val="right"/>
        <w:rPr>
          <w:rFonts w:ascii="宋体" w:hAnsi="宋体" w:cs="宋体"/>
          <w:spacing w:val="-2"/>
          <w:szCs w:val="21"/>
        </w:rPr>
      </w:pPr>
      <w:r>
        <w:rPr>
          <w:rFonts w:hint="eastAsia" w:ascii="宋体" w:hAnsi="宋体" w:cs="宋体"/>
          <w:spacing w:val="-2"/>
          <w:szCs w:val="21"/>
        </w:rPr>
        <w:t>承诺单位：</w:t>
      </w:r>
      <w:r>
        <w:rPr>
          <w:rFonts w:hint="eastAsia" w:ascii="宋体" w:hAnsi="宋体" w:cs="宋体"/>
          <w:spacing w:val="-2"/>
          <w:szCs w:val="21"/>
          <w:u w:val="single"/>
        </w:rPr>
        <w:t xml:space="preserve">                      </w:t>
      </w:r>
      <w:r>
        <w:rPr>
          <w:rFonts w:hint="eastAsia" w:ascii="宋体" w:hAnsi="宋体" w:cs="宋体"/>
          <w:spacing w:val="-2"/>
          <w:szCs w:val="21"/>
        </w:rPr>
        <w:t>（盖章）</w:t>
      </w:r>
    </w:p>
    <w:p w14:paraId="5CF52881">
      <w:pPr>
        <w:spacing w:line="360" w:lineRule="auto"/>
        <w:jc w:val="right"/>
        <w:rPr>
          <w:rFonts w:ascii="宋体" w:hAnsi="宋体" w:cs="宋体"/>
          <w:spacing w:val="-2"/>
          <w:szCs w:val="21"/>
        </w:rPr>
      </w:pPr>
      <w:r>
        <w:rPr>
          <w:rFonts w:hint="eastAsia" w:ascii="宋体" w:hAnsi="宋体" w:cs="宋体"/>
          <w:spacing w:val="-2"/>
          <w:szCs w:val="21"/>
        </w:rPr>
        <w:t>法定代表人或其授权委托人：</w:t>
      </w:r>
      <w:r>
        <w:rPr>
          <w:rFonts w:hint="eastAsia" w:ascii="宋体" w:hAnsi="宋体" w:cs="宋体"/>
          <w:spacing w:val="-2"/>
          <w:szCs w:val="21"/>
          <w:u w:val="single"/>
          <w:lang w:val="en-US" w:eastAsia="zh-CN"/>
        </w:rPr>
        <w:t xml:space="preserve">             </w:t>
      </w:r>
      <w:r>
        <w:rPr>
          <w:rFonts w:hint="eastAsia" w:ascii="宋体" w:hAnsi="宋体" w:cs="宋体"/>
          <w:spacing w:val="-2"/>
          <w:szCs w:val="21"/>
        </w:rPr>
        <w:t>（签字）</w:t>
      </w:r>
    </w:p>
    <w:p w14:paraId="4CE72D4A">
      <w:pPr>
        <w:spacing w:line="360" w:lineRule="auto"/>
        <w:jc w:val="right"/>
        <w:rPr>
          <w:rFonts w:ascii="宋体" w:hAnsi="宋体" w:cs="宋体"/>
          <w:spacing w:val="-2"/>
          <w:szCs w:val="21"/>
        </w:rPr>
      </w:pPr>
      <w:r>
        <w:rPr>
          <w:rFonts w:hint="eastAsia" w:ascii="宋体" w:hAnsi="宋体" w:cs="宋体"/>
          <w:spacing w:val="-2"/>
          <w:szCs w:val="21"/>
        </w:rPr>
        <w:t>日期：     年</w:t>
      </w:r>
      <w:r>
        <w:rPr>
          <w:rFonts w:hint="eastAsia" w:ascii="宋体" w:hAnsi="宋体" w:cs="宋体"/>
          <w:spacing w:val="-2"/>
          <w:szCs w:val="21"/>
          <w:lang w:val="en-US" w:eastAsia="zh-CN"/>
        </w:rPr>
        <w:t xml:space="preserve"> </w:t>
      </w:r>
      <w:r>
        <w:rPr>
          <w:rFonts w:hint="eastAsia" w:ascii="宋体" w:hAnsi="宋体" w:cs="宋体"/>
          <w:spacing w:val="-2"/>
          <w:szCs w:val="21"/>
        </w:rPr>
        <w:t xml:space="preserve">   月 </w:t>
      </w:r>
      <w:r>
        <w:rPr>
          <w:rFonts w:hint="eastAsia" w:ascii="宋体" w:hAnsi="宋体" w:cs="宋体"/>
          <w:spacing w:val="-2"/>
          <w:szCs w:val="21"/>
          <w:lang w:val="en-US" w:eastAsia="zh-CN"/>
        </w:rPr>
        <w:t xml:space="preserve">   </w:t>
      </w:r>
      <w:r>
        <w:rPr>
          <w:rFonts w:hint="eastAsia" w:ascii="宋体" w:hAnsi="宋体" w:cs="宋体"/>
          <w:spacing w:val="-2"/>
          <w:szCs w:val="21"/>
        </w:rPr>
        <w:t>日</w:t>
      </w:r>
    </w:p>
    <w:p w14:paraId="4EB88F4F">
      <w:pPr>
        <w:spacing w:line="400" w:lineRule="exact"/>
        <w:rPr>
          <w:rFonts w:ascii="宋体" w:hAnsi="宋体" w:cs="宋体"/>
          <w:spacing w:val="-2"/>
          <w:szCs w:val="21"/>
        </w:rPr>
      </w:pPr>
    </w:p>
    <w:p w14:paraId="671CC6CD">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225EFB39">
      <w:pPr>
        <w:widowControl/>
        <w:spacing w:before="100" w:after="156" w:afterLines="50" w:line="400" w:lineRule="exact"/>
        <w:rPr>
          <w:rFonts w:ascii="宋体" w:hAnsi="宋体" w:cs="宋体"/>
        </w:rPr>
      </w:pPr>
    </w:p>
    <w:p w14:paraId="4F622A48">
      <w:pPr>
        <w:pStyle w:val="248"/>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51C58D03">
      <w:pPr>
        <w:rPr>
          <w:rFonts w:ascii="宋体" w:hAnsi="宋体" w:cs="宋体"/>
        </w:rPr>
      </w:pPr>
    </w:p>
    <w:p w14:paraId="16EFFA42">
      <w:pPr>
        <w:pStyle w:val="3"/>
        <w:jc w:val="center"/>
        <w:rPr>
          <w:rFonts w:ascii="宋体" w:hAnsi="宋体" w:cs="宋体"/>
          <w:bCs w:val="0"/>
          <w:sz w:val="24"/>
          <w:szCs w:val="24"/>
        </w:rPr>
      </w:pPr>
      <w:bookmarkStart w:id="69" w:name="_Toc152042597"/>
      <w:bookmarkStart w:id="70" w:name="_Toc247085891"/>
      <w:bookmarkStart w:id="71" w:name="_Toc152045808"/>
      <w:bookmarkStart w:id="72" w:name="_Toc334767003"/>
      <w:bookmarkStart w:id="73" w:name="_Toc326223618"/>
      <w:bookmarkStart w:id="74" w:name="_Toc332188252"/>
      <w:bookmarkStart w:id="75" w:name="_Toc246997116"/>
      <w:bookmarkStart w:id="76" w:name="_Toc246996373"/>
      <w:bookmarkStart w:id="77" w:name="_Toc179632828"/>
      <w:bookmarkStart w:id="78" w:name="_Toc144974876"/>
      <w:r>
        <w:rPr>
          <w:rFonts w:hint="eastAsia" w:ascii="宋体" w:hAnsi="宋体" w:cs="宋体"/>
          <w:bCs w:val="0"/>
          <w:sz w:val="24"/>
          <w:szCs w:val="24"/>
        </w:rPr>
        <w:t>（一）供应商基本情况表</w:t>
      </w:r>
      <w:bookmarkEnd w:id="69"/>
      <w:bookmarkEnd w:id="70"/>
      <w:bookmarkEnd w:id="71"/>
      <w:bookmarkEnd w:id="72"/>
      <w:bookmarkEnd w:id="73"/>
      <w:bookmarkEnd w:id="74"/>
      <w:bookmarkEnd w:id="75"/>
      <w:bookmarkEnd w:id="76"/>
      <w:bookmarkEnd w:id="77"/>
      <w:bookmarkEnd w:id="78"/>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3C2D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DB1288">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377E81">
            <w:pPr>
              <w:topLinePunct/>
              <w:spacing w:line="440" w:lineRule="exact"/>
              <w:jc w:val="center"/>
              <w:rPr>
                <w:rFonts w:ascii="宋体" w:hAnsi="宋体" w:cs="宋体"/>
                <w:szCs w:val="21"/>
              </w:rPr>
            </w:pPr>
          </w:p>
        </w:tc>
      </w:tr>
      <w:tr w14:paraId="51BCB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AF338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6E4639C">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24931CE0">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70B49A">
            <w:pPr>
              <w:topLinePunct/>
              <w:spacing w:line="440" w:lineRule="exact"/>
              <w:jc w:val="center"/>
              <w:rPr>
                <w:rFonts w:ascii="宋体" w:hAnsi="宋体" w:cs="宋体"/>
                <w:szCs w:val="21"/>
              </w:rPr>
            </w:pPr>
          </w:p>
        </w:tc>
      </w:tr>
      <w:tr w14:paraId="601C0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2D0A4F4">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092F3D8">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F65C4A7">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993DC70">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78FB8CF">
            <w:pPr>
              <w:topLinePunct/>
              <w:spacing w:line="440" w:lineRule="exact"/>
              <w:jc w:val="center"/>
              <w:rPr>
                <w:rFonts w:ascii="宋体" w:hAnsi="宋体" w:cs="宋体"/>
                <w:szCs w:val="21"/>
              </w:rPr>
            </w:pPr>
          </w:p>
        </w:tc>
      </w:tr>
      <w:tr w14:paraId="66AA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FDDACC4">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539C91A">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ECF98C3">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1711FCE">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EACD358">
            <w:pPr>
              <w:topLinePunct/>
              <w:spacing w:line="440" w:lineRule="exact"/>
              <w:jc w:val="center"/>
              <w:rPr>
                <w:rFonts w:ascii="宋体" w:hAnsi="宋体" w:cs="宋体"/>
                <w:szCs w:val="21"/>
              </w:rPr>
            </w:pPr>
          </w:p>
        </w:tc>
      </w:tr>
      <w:tr w14:paraId="2593D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23BB500">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B49CD10">
            <w:pPr>
              <w:topLinePunct/>
              <w:spacing w:line="440" w:lineRule="exact"/>
              <w:jc w:val="center"/>
              <w:rPr>
                <w:rFonts w:ascii="宋体" w:hAnsi="宋体" w:cs="宋体"/>
                <w:szCs w:val="21"/>
              </w:rPr>
            </w:pPr>
          </w:p>
        </w:tc>
      </w:tr>
      <w:tr w14:paraId="74B82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6007A6">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2E77DD6">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E562261">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242B68">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74442D6">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E0FA81E">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49CE78F">
            <w:pPr>
              <w:topLinePunct/>
              <w:spacing w:line="440" w:lineRule="exact"/>
              <w:jc w:val="center"/>
              <w:rPr>
                <w:rFonts w:ascii="宋体" w:hAnsi="宋体" w:cs="宋体"/>
                <w:szCs w:val="21"/>
              </w:rPr>
            </w:pPr>
          </w:p>
        </w:tc>
      </w:tr>
      <w:tr w14:paraId="4E87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C15B75">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1DD010A">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3ABFD14">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1B504E5">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9CB41EC">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DEF149A">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B172A6A">
            <w:pPr>
              <w:topLinePunct/>
              <w:spacing w:line="440" w:lineRule="exact"/>
              <w:jc w:val="center"/>
              <w:rPr>
                <w:rFonts w:ascii="宋体" w:hAnsi="宋体" w:cs="宋体"/>
                <w:szCs w:val="21"/>
              </w:rPr>
            </w:pPr>
          </w:p>
        </w:tc>
      </w:tr>
      <w:tr w14:paraId="35FB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BA8039">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AC25FD">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C38AD10">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20EF5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F58B1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78F19">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7BD2B56">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C42E22F">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E8A06A">
            <w:pPr>
              <w:topLinePunct/>
              <w:spacing w:line="440" w:lineRule="exact"/>
              <w:jc w:val="center"/>
              <w:rPr>
                <w:rFonts w:ascii="宋体" w:hAnsi="宋体" w:cs="宋体"/>
                <w:szCs w:val="21"/>
              </w:rPr>
            </w:pPr>
          </w:p>
        </w:tc>
      </w:tr>
      <w:tr w14:paraId="34FB2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DDB01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F736EB">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2085B8">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6E0ED79">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A5B836">
            <w:pPr>
              <w:topLinePunct/>
              <w:spacing w:line="440" w:lineRule="exact"/>
              <w:jc w:val="center"/>
              <w:rPr>
                <w:rFonts w:ascii="宋体" w:hAnsi="宋体" w:cs="宋体"/>
                <w:szCs w:val="21"/>
              </w:rPr>
            </w:pPr>
          </w:p>
        </w:tc>
      </w:tr>
      <w:tr w14:paraId="39597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4F445A">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29087">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F1DD5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E1D4B6">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1924E3">
            <w:pPr>
              <w:topLinePunct/>
              <w:spacing w:line="440" w:lineRule="exact"/>
              <w:jc w:val="center"/>
              <w:rPr>
                <w:rFonts w:ascii="宋体" w:hAnsi="宋体" w:cs="宋体"/>
                <w:szCs w:val="21"/>
              </w:rPr>
            </w:pPr>
          </w:p>
        </w:tc>
      </w:tr>
      <w:tr w14:paraId="7FBC7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503563">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66CCF">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E3AD6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06284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4A69DD3">
            <w:pPr>
              <w:topLinePunct/>
              <w:spacing w:line="440" w:lineRule="exact"/>
              <w:jc w:val="center"/>
              <w:rPr>
                <w:rFonts w:ascii="宋体" w:hAnsi="宋体" w:cs="宋体"/>
                <w:szCs w:val="21"/>
              </w:rPr>
            </w:pPr>
          </w:p>
        </w:tc>
      </w:tr>
      <w:tr w14:paraId="7258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5036BD">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B0BB072">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CDDB4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F2EBFA8">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3BD0EF">
            <w:pPr>
              <w:topLinePunct/>
              <w:spacing w:line="440" w:lineRule="exact"/>
              <w:jc w:val="center"/>
              <w:rPr>
                <w:rFonts w:ascii="宋体" w:hAnsi="宋体" w:cs="宋体"/>
                <w:szCs w:val="21"/>
              </w:rPr>
            </w:pPr>
          </w:p>
        </w:tc>
      </w:tr>
      <w:tr w14:paraId="4FAB7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62118E">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DB4CB7">
            <w:pPr>
              <w:topLinePunct/>
              <w:spacing w:line="440" w:lineRule="exact"/>
              <w:rPr>
                <w:rFonts w:ascii="宋体" w:hAnsi="宋体" w:cs="宋体"/>
                <w:szCs w:val="21"/>
              </w:rPr>
            </w:pPr>
          </w:p>
        </w:tc>
      </w:tr>
      <w:tr w14:paraId="271A1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4B11DBB7">
            <w:pPr>
              <w:tabs>
                <w:tab w:val="left" w:pos="0"/>
              </w:tabs>
              <w:spacing w:before="100" w:beforeAutospacing="1" w:after="100" w:afterAutospacing="1"/>
              <w:ind w:right="-109" w:rightChars="-52"/>
              <w:jc w:val="center"/>
              <w:rPr>
                <w:rFonts w:ascii="宋体" w:hAnsi="宋体" w:cs="宋体"/>
                <w:szCs w:val="21"/>
              </w:rPr>
            </w:pPr>
            <w:bookmarkStart w:id="79" w:name="_Toc192353073"/>
            <w:r>
              <w:rPr>
                <w:rFonts w:hint="eastAsia" w:ascii="宋体" w:hAnsi="宋体" w:cs="宋体"/>
                <w:bCs/>
                <w:szCs w:val="21"/>
              </w:rPr>
              <w:t>公司概况</w:t>
            </w:r>
            <w:bookmarkEnd w:id="79"/>
          </w:p>
        </w:tc>
        <w:tc>
          <w:tcPr>
            <w:tcW w:w="6840" w:type="dxa"/>
            <w:gridSpan w:val="9"/>
            <w:tcBorders>
              <w:top w:val="single" w:color="auto" w:sz="4" w:space="0"/>
              <w:left w:val="single" w:color="auto" w:sz="4" w:space="0"/>
              <w:right w:val="single" w:color="auto" w:sz="4" w:space="0"/>
            </w:tcBorders>
            <w:vAlign w:val="center"/>
          </w:tcPr>
          <w:p w14:paraId="30DFD8DC">
            <w:pPr>
              <w:topLinePunct/>
              <w:spacing w:line="440" w:lineRule="exact"/>
              <w:rPr>
                <w:rFonts w:ascii="宋体" w:hAnsi="宋体" w:cs="宋体"/>
                <w:szCs w:val="21"/>
              </w:rPr>
            </w:pPr>
          </w:p>
        </w:tc>
      </w:tr>
      <w:tr w14:paraId="3E2EB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604D47">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F6A10C7">
            <w:pPr>
              <w:topLinePunct/>
              <w:spacing w:line="440" w:lineRule="exact"/>
              <w:jc w:val="center"/>
              <w:rPr>
                <w:rFonts w:ascii="宋体" w:hAnsi="宋体" w:cs="宋体"/>
                <w:szCs w:val="21"/>
              </w:rPr>
            </w:pPr>
          </w:p>
        </w:tc>
      </w:tr>
    </w:tbl>
    <w:p w14:paraId="15D24AEB">
      <w:pPr>
        <w:topLinePunct/>
        <w:spacing w:line="360" w:lineRule="exact"/>
        <w:rPr>
          <w:rFonts w:ascii="宋体" w:hAnsi="宋体" w:cs="宋体"/>
          <w:szCs w:val="21"/>
        </w:rPr>
      </w:pPr>
    </w:p>
    <w:p w14:paraId="7242BFE2">
      <w:pPr>
        <w:topLinePunct/>
        <w:spacing w:line="360" w:lineRule="exact"/>
        <w:rPr>
          <w:rFonts w:ascii="宋体" w:hAnsi="宋体" w:cs="宋体"/>
          <w:szCs w:val="21"/>
        </w:rPr>
      </w:pPr>
    </w:p>
    <w:p w14:paraId="451440D1">
      <w:pPr>
        <w:topLinePunct/>
        <w:spacing w:line="360" w:lineRule="exact"/>
        <w:rPr>
          <w:rFonts w:ascii="宋体" w:hAnsi="宋体" w:cs="宋体"/>
          <w:szCs w:val="21"/>
        </w:rPr>
      </w:pPr>
    </w:p>
    <w:p w14:paraId="6527F577">
      <w:pPr>
        <w:topLinePunct/>
        <w:spacing w:line="360" w:lineRule="exact"/>
        <w:rPr>
          <w:rFonts w:ascii="宋体" w:hAnsi="宋体" w:cs="宋体"/>
          <w:szCs w:val="21"/>
        </w:rPr>
      </w:pPr>
    </w:p>
    <w:p w14:paraId="58ED8BB7">
      <w:pPr>
        <w:topLinePunct/>
        <w:spacing w:line="360" w:lineRule="exact"/>
        <w:rPr>
          <w:rFonts w:ascii="宋体" w:hAnsi="宋体" w:cs="宋体"/>
          <w:szCs w:val="21"/>
        </w:rPr>
      </w:pPr>
    </w:p>
    <w:p w14:paraId="559F4BE6">
      <w:pPr>
        <w:topLinePunct/>
        <w:spacing w:line="360" w:lineRule="exact"/>
        <w:rPr>
          <w:rFonts w:ascii="宋体" w:hAnsi="宋体" w:cs="宋体"/>
          <w:szCs w:val="21"/>
        </w:rPr>
      </w:pPr>
    </w:p>
    <w:p w14:paraId="6DE3C3AA">
      <w:pPr>
        <w:spacing w:line="400" w:lineRule="exact"/>
        <w:jc w:val="center"/>
        <w:rPr>
          <w:rFonts w:ascii="宋体" w:hAnsi="宋体" w:cs="宋体"/>
          <w:b/>
        </w:rPr>
      </w:pPr>
      <w:r>
        <w:rPr>
          <w:rFonts w:hint="eastAsia" w:ascii="宋体" w:hAnsi="宋体" w:cs="宋体"/>
          <w:sz w:val="24"/>
        </w:rPr>
        <w:t>资格审查资料</w:t>
      </w:r>
    </w:p>
    <w:p w14:paraId="1275C102">
      <w:pPr>
        <w:spacing w:line="400" w:lineRule="exact"/>
        <w:rPr>
          <w:rFonts w:ascii="宋体" w:hAnsi="宋体" w:cs="宋体"/>
          <w:b/>
        </w:rPr>
      </w:pPr>
    </w:p>
    <w:p w14:paraId="3B2AED1D">
      <w:pPr>
        <w:rPr>
          <w:rFonts w:ascii="宋体" w:hAnsi="宋体" w:cs="宋体"/>
        </w:rPr>
      </w:pPr>
    </w:p>
    <w:p w14:paraId="042B2686">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59F20F88">
      <w:pPr>
        <w:pStyle w:val="64"/>
        <w:rPr>
          <w:rFonts w:ascii="宋体" w:hAnsi="宋体" w:cs="宋体"/>
        </w:rPr>
      </w:pPr>
    </w:p>
    <w:p w14:paraId="1AA17FE2">
      <w:pPr>
        <w:rPr>
          <w:rFonts w:ascii="宋体" w:hAnsi="宋体" w:cs="宋体"/>
        </w:rPr>
      </w:pPr>
    </w:p>
    <w:p w14:paraId="584E8375">
      <w:pPr>
        <w:spacing w:line="360" w:lineRule="exact"/>
        <w:ind w:firstLine="315" w:firstLineChars="150"/>
        <w:jc w:val="left"/>
        <w:rPr>
          <w:rFonts w:ascii="宋体" w:hAnsi="宋体" w:cs="宋体"/>
        </w:rPr>
      </w:pPr>
      <w:r>
        <w:rPr>
          <w:rFonts w:hint="eastAsia" w:ascii="宋体" w:hAnsi="宋体" w:cs="宋体"/>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00691025">
      <w:pPr>
        <w:pStyle w:val="64"/>
        <w:rPr>
          <w:rFonts w:ascii="宋体" w:hAnsi="宋体" w:cs="宋体"/>
        </w:rPr>
      </w:pPr>
    </w:p>
    <w:p w14:paraId="50A81DC1">
      <w:pPr>
        <w:pStyle w:val="64"/>
        <w:rPr>
          <w:rFonts w:ascii="宋体" w:hAnsi="宋体" w:cs="宋体"/>
        </w:rPr>
      </w:pPr>
    </w:p>
    <w:p w14:paraId="26CD8EC3">
      <w:pPr>
        <w:spacing w:line="360" w:lineRule="exact"/>
        <w:ind w:firstLine="315" w:firstLineChars="150"/>
        <w:jc w:val="left"/>
        <w:rPr>
          <w:rFonts w:ascii="宋体" w:hAnsi="宋体" w:cs="宋体"/>
        </w:rPr>
      </w:pPr>
    </w:p>
    <w:p w14:paraId="78E89309">
      <w:pPr>
        <w:spacing w:line="360" w:lineRule="exact"/>
        <w:ind w:firstLine="315" w:firstLineChars="150"/>
        <w:jc w:val="left"/>
        <w:rPr>
          <w:rFonts w:ascii="宋体" w:hAnsi="宋体" w:cs="宋体"/>
          <w:kern w:val="0"/>
          <w:szCs w:val="24"/>
        </w:rPr>
      </w:pPr>
    </w:p>
    <w:p w14:paraId="2E3452DE">
      <w:pPr>
        <w:spacing w:line="360" w:lineRule="exact"/>
        <w:ind w:firstLine="315" w:firstLineChars="150"/>
        <w:jc w:val="left"/>
        <w:rPr>
          <w:rFonts w:ascii="宋体" w:hAnsi="宋体" w:cs="宋体"/>
        </w:rPr>
      </w:pPr>
    </w:p>
    <w:p w14:paraId="57F668A2">
      <w:pPr>
        <w:spacing w:line="360" w:lineRule="exact"/>
        <w:ind w:firstLine="315" w:firstLineChars="150"/>
        <w:jc w:val="left"/>
        <w:rPr>
          <w:rFonts w:ascii="宋体" w:hAnsi="宋体" w:cs="宋体"/>
        </w:rPr>
      </w:pPr>
    </w:p>
    <w:p w14:paraId="6CC45178">
      <w:pPr>
        <w:pStyle w:val="64"/>
        <w:rPr>
          <w:rFonts w:ascii="宋体" w:hAnsi="宋体" w:cs="宋体"/>
        </w:rPr>
      </w:pPr>
    </w:p>
    <w:p w14:paraId="52220614">
      <w:pPr>
        <w:spacing w:line="360" w:lineRule="exact"/>
        <w:ind w:firstLine="315" w:firstLineChars="150"/>
        <w:jc w:val="left"/>
        <w:rPr>
          <w:rFonts w:ascii="宋体" w:hAnsi="宋体" w:cs="宋体"/>
        </w:rPr>
      </w:pPr>
    </w:p>
    <w:p w14:paraId="7438741B">
      <w:pPr>
        <w:spacing w:line="400" w:lineRule="exact"/>
        <w:jc w:val="center"/>
        <w:rPr>
          <w:rFonts w:ascii="宋体" w:hAnsi="宋体" w:cs="宋体"/>
          <w:b/>
          <w:szCs w:val="21"/>
        </w:rPr>
      </w:pPr>
      <w:r>
        <w:rPr>
          <w:rFonts w:hint="eastAsia" w:ascii="宋体" w:hAnsi="宋体" w:cs="宋体"/>
          <w:b/>
          <w:szCs w:val="21"/>
        </w:rPr>
        <w:t>承诺书</w:t>
      </w:r>
    </w:p>
    <w:p w14:paraId="20CAC8B9">
      <w:pPr>
        <w:spacing w:line="400" w:lineRule="exact"/>
        <w:jc w:val="left"/>
        <w:rPr>
          <w:rFonts w:ascii="宋体" w:hAnsi="宋体" w:cs="宋体"/>
        </w:rPr>
      </w:pPr>
      <w:r>
        <w:rPr>
          <w:rFonts w:hint="eastAsia" w:ascii="宋体" w:hAnsi="宋体" w:cs="宋体"/>
        </w:rPr>
        <w:t>致：数字江门网络建设有限公司</w:t>
      </w:r>
    </w:p>
    <w:p w14:paraId="1F37C43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479B3ACD">
      <w:pPr>
        <w:spacing w:line="440" w:lineRule="exact"/>
        <w:jc w:val="center"/>
        <w:rPr>
          <w:rFonts w:ascii="宋体" w:hAnsi="宋体" w:cs="宋体"/>
          <w:b/>
          <w:sz w:val="28"/>
          <w:szCs w:val="28"/>
        </w:rPr>
      </w:pPr>
    </w:p>
    <w:p w14:paraId="6DF0CF0F">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199EC4A1">
      <w:pPr>
        <w:spacing w:line="440" w:lineRule="exact"/>
        <w:jc w:val="right"/>
        <w:rPr>
          <w:rFonts w:ascii="宋体" w:hAnsi="宋体" w:cs="宋体"/>
        </w:rPr>
      </w:pPr>
    </w:p>
    <w:p w14:paraId="40627482">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1FD90CE">
      <w:pPr>
        <w:pStyle w:val="215"/>
        <w:ind w:firstLine="240" w:firstLineChars="100"/>
        <w:rPr>
          <w:rFonts w:ascii="宋体" w:hAnsi="宋体" w:cs="宋体"/>
          <w:smallCaps w:val="0"/>
          <w:sz w:val="21"/>
          <w:szCs w:val="22"/>
        </w:rPr>
      </w:pPr>
      <w:bookmarkStart w:id="80" w:name="_Toc265953295"/>
      <w:bookmarkStart w:id="81" w:name="_Toc247514301"/>
      <w:bookmarkStart w:id="82" w:name="_Toc152042598"/>
      <w:bookmarkStart w:id="83" w:name="_Toc144974877"/>
      <w:bookmarkStart w:id="84" w:name="_Toc332188253"/>
      <w:bookmarkStart w:id="85" w:name="_Toc247527849"/>
      <w:bookmarkStart w:id="86" w:name="_Toc152045809"/>
      <w:bookmarkStart w:id="87" w:name="_Toc334767004"/>
      <w:bookmarkStart w:id="88" w:name="_Toc326223619"/>
      <w:r>
        <w:rPr>
          <w:rFonts w:hint="eastAsia" w:ascii="宋体" w:hAnsi="宋体" w:cs="宋体"/>
          <w:bCs/>
          <w:sz w:val="24"/>
          <w:szCs w:val="24"/>
        </w:rPr>
        <w:br w:type="page"/>
      </w:r>
      <w:bookmarkEnd w:id="80"/>
      <w:bookmarkEnd w:id="81"/>
      <w:bookmarkEnd w:id="82"/>
      <w:bookmarkEnd w:id="83"/>
      <w:bookmarkEnd w:id="84"/>
      <w:bookmarkEnd w:id="85"/>
      <w:bookmarkEnd w:id="86"/>
      <w:bookmarkEnd w:id="87"/>
      <w:bookmarkEnd w:id="88"/>
    </w:p>
    <w:p w14:paraId="57E4166D">
      <w:pPr>
        <w:pStyle w:val="3"/>
        <w:jc w:val="center"/>
        <w:rPr>
          <w:rFonts w:ascii="宋体" w:hAnsi="宋体" w:cs="宋体"/>
        </w:rPr>
      </w:pPr>
      <w:r>
        <w:rPr>
          <w:rFonts w:hint="eastAsia" w:ascii="宋体" w:hAnsi="宋体" w:cs="宋体"/>
          <w:bCs w:val="0"/>
          <w:sz w:val="24"/>
          <w:szCs w:val="24"/>
        </w:rPr>
        <w:t>（二）其他资格审查资料（供应商认为需要补充的相关资料）</w:t>
      </w:r>
    </w:p>
    <w:p w14:paraId="53713CF7">
      <w:pPr>
        <w:rPr>
          <w:rFonts w:ascii="宋体" w:hAnsi="宋体" w:cs="宋体"/>
        </w:rPr>
      </w:pPr>
    </w:p>
    <w:p w14:paraId="035AED36">
      <w:pPr>
        <w:rPr>
          <w:rFonts w:ascii="宋体" w:hAnsi="宋体" w:cs="宋体"/>
          <w:sz w:val="28"/>
          <w:szCs w:val="28"/>
          <w:u w:val="single"/>
        </w:rPr>
      </w:pPr>
      <w:r>
        <w:rPr>
          <w:rFonts w:hint="eastAsia" w:ascii="宋体" w:hAnsi="宋体" w:cs="宋体"/>
          <w:sz w:val="28"/>
          <w:szCs w:val="28"/>
          <w:u w:val="single"/>
        </w:rPr>
        <w:br w:type="page"/>
      </w:r>
    </w:p>
    <w:bookmarkEnd w:id="61"/>
    <w:bookmarkEnd w:id="62"/>
    <w:bookmarkEnd w:id="63"/>
    <w:bookmarkEnd w:id="64"/>
    <w:bookmarkEnd w:id="65"/>
    <w:bookmarkEnd w:id="66"/>
    <w:bookmarkEnd w:id="67"/>
    <w:bookmarkEnd w:id="68"/>
    <w:p w14:paraId="6B349DA8">
      <w:pPr>
        <w:pStyle w:val="3"/>
        <w:spacing w:before="0" w:line="415" w:lineRule="auto"/>
        <w:rPr>
          <w:rFonts w:ascii="宋体" w:hAnsi="宋体" w:cs="宋体"/>
          <w:b w:val="0"/>
        </w:rPr>
      </w:pPr>
      <w:r>
        <w:rPr>
          <w:rFonts w:hint="eastAsia" w:ascii="宋体" w:hAnsi="宋体" w:cs="宋体"/>
          <w:b w:val="0"/>
        </w:rPr>
        <w:t>第二部分：报价文件</w:t>
      </w:r>
    </w:p>
    <w:p w14:paraId="17753CED">
      <w:pPr>
        <w:pStyle w:val="248"/>
        <w:jc w:val="center"/>
        <w:rPr>
          <w:rFonts w:ascii="宋体" w:hAnsi="宋体" w:eastAsia="宋体"/>
        </w:rPr>
      </w:pPr>
      <w:r>
        <w:rPr>
          <w:rFonts w:hint="eastAsia" w:ascii="宋体" w:hAnsi="宋体" w:eastAsia="宋体"/>
        </w:rPr>
        <w:t>报价一览表</w:t>
      </w:r>
    </w:p>
    <w:p w14:paraId="21DC621D">
      <w:pPr>
        <w:pStyle w:val="5"/>
        <w:spacing w:before="156" w:beforeLines="50" w:line="400" w:lineRule="exact"/>
        <w:ind w:firstLine="210" w:firstLineChars="100"/>
        <w:rPr>
          <w:rFonts w:hint="eastAsia" w:ascii="宋体" w:hAnsi="宋体" w:eastAsia="宋体" w:cs="宋体"/>
          <w:sz w:val="21"/>
          <w:szCs w:val="21"/>
          <w:u w:val="single"/>
          <w:lang w:eastAsia="zh-CN"/>
        </w:rPr>
      </w:pPr>
      <w:r>
        <w:rPr>
          <w:rFonts w:hint="eastAsia" w:ascii="宋体" w:hAnsi="宋体" w:cs="宋体"/>
          <w:sz w:val="21"/>
          <w:szCs w:val="21"/>
        </w:rPr>
        <w:t>项目名称：</w:t>
      </w:r>
      <w:r>
        <w:rPr>
          <w:rFonts w:hint="eastAsia" w:ascii="宋体" w:hAnsi="宋体" w:cs="宋体"/>
          <w:sz w:val="21"/>
          <w:szCs w:val="21"/>
          <w:u w:val="single"/>
          <w:lang w:eastAsia="zh-CN"/>
        </w:rPr>
        <w:t>数字江门网络建设有限公司园区系统建设项目</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354"/>
        <w:gridCol w:w="1836"/>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984" w:type="dxa"/>
            <w:vAlign w:val="center"/>
          </w:tcPr>
          <w:p w14:paraId="733C11B7">
            <w:pPr>
              <w:widowControl/>
              <w:jc w:val="center"/>
              <w:rPr>
                <w:rFonts w:ascii="宋体" w:hAnsi="宋体" w:cs="宋体"/>
                <w:color w:val="000000"/>
                <w:kern w:val="0"/>
                <w:szCs w:val="22"/>
              </w:rPr>
            </w:pPr>
            <w:r>
              <w:rPr>
                <w:rFonts w:hint="eastAsia" w:ascii="宋体" w:hAnsi="宋体" w:cs="宋体"/>
                <w:color w:val="000000"/>
                <w:kern w:val="0"/>
                <w:szCs w:val="22"/>
              </w:rPr>
              <w:t>供应人名称</w:t>
            </w:r>
          </w:p>
        </w:tc>
        <w:tc>
          <w:tcPr>
            <w:tcW w:w="4354" w:type="dxa"/>
            <w:vAlign w:val="center"/>
          </w:tcPr>
          <w:p w14:paraId="57F1A209">
            <w:pPr>
              <w:widowControl/>
              <w:jc w:val="center"/>
              <w:rPr>
                <w:rFonts w:ascii="宋体" w:hAnsi="宋体" w:cs="宋体"/>
                <w:color w:val="000000"/>
                <w:kern w:val="0"/>
                <w:szCs w:val="22"/>
              </w:rPr>
            </w:pPr>
            <w:r>
              <w:rPr>
                <w:rFonts w:hint="eastAsia" w:ascii="宋体" w:hAnsi="宋体" w:cs="宋体"/>
                <w:color w:val="000000"/>
                <w:kern w:val="0"/>
                <w:szCs w:val="22"/>
              </w:rPr>
              <w:t>含税报价总价（元/人民币）</w:t>
            </w:r>
          </w:p>
        </w:tc>
        <w:tc>
          <w:tcPr>
            <w:tcW w:w="1836" w:type="dxa"/>
            <w:vAlign w:val="center"/>
          </w:tcPr>
          <w:p w14:paraId="6F1C2752">
            <w:pPr>
              <w:widowControl/>
              <w:jc w:val="center"/>
              <w:rPr>
                <w:rFonts w:ascii="宋体" w:hAnsi="宋体" w:cs="宋体"/>
                <w:color w:val="000000"/>
                <w:kern w:val="0"/>
                <w:szCs w:val="22"/>
              </w:rPr>
            </w:pPr>
            <w:r>
              <w:rPr>
                <w:rFonts w:hint="eastAsia" w:ascii="宋体" w:hAnsi="宋体" w:cs="宋体"/>
                <w:color w:val="000000"/>
                <w:kern w:val="0"/>
                <w:szCs w:val="22"/>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84" w:type="dxa"/>
            <w:vMerge w:val="restart"/>
            <w:vAlign w:val="center"/>
          </w:tcPr>
          <w:p w14:paraId="6D0AC95F">
            <w:pPr>
              <w:widowControl/>
              <w:jc w:val="center"/>
              <w:rPr>
                <w:rFonts w:ascii="宋体" w:hAnsi="宋体" w:cs="宋体"/>
                <w:color w:val="000000"/>
                <w:kern w:val="0"/>
                <w:szCs w:val="22"/>
              </w:rPr>
            </w:pPr>
          </w:p>
        </w:tc>
        <w:tc>
          <w:tcPr>
            <w:tcW w:w="4354" w:type="dxa"/>
            <w:vAlign w:val="center"/>
          </w:tcPr>
          <w:p w14:paraId="052D84AF">
            <w:pPr>
              <w:widowControl/>
              <w:rPr>
                <w:rFonts w:ascii="宋体" w:hAnsi="宋体" w:cs="宋体"/>
                <w:color w:val="000000"/>
                <w:kern w:val="0"/>
                <w:szCs w:val="22"/>
              </w:rPr>
            </w:pPr>
            <w:r>
              <w:rPr>
                <w:rFonts w:hint="eastAsia" w:ascii="宋体" w:hAnsi="宋体" w:cs="宋体"/>
                <w:color w:val="000000"/>
                <w:kern w:val="0"/>
                <w:szCs w:val="22"/>
              </w:rPr>
              <w:t>（小写金额）：</w:t>
            </w:r>
          </w:p>
        </w:tc>
        <w:tc>
          <w:tcPr>
            <w:tcW w:w="1836" w:type="dxa"/>
            <w:vMerge w:val="restart"/>
            <w:vAlign w:val="center"/>
          </w:tcPr>
          <w:p w14:paraId="68C3D2E5">
            <w:pPr>
              <w:widowControl/>
              <w:jc w:val="center"/>
              <w:rPr>
                <w:rFonts w:ascii="宋体" w:hAnsi="宋体" w:cs="宋体"/>
                <w:color w:val="000000"/>
                <w:kern w:val="0"/>
                <w:szCs w:val="22"/>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84" w:type="dxa"/>
            <w:vMerge w:val="continue"/>
            <w:vAlign w:val="center"/>
          </w:tcPr>
          <w:p w14:paraId="7C519984">
            <w:pPr>
              <w:widowControl/>
              <w:jc w:val="center"/>
              <w:rPr>
                <w:rFonts w:ascii="宋体" w:hAnsi="宋体" w:cs="宋体"/>
                <w:color w:val="000000"/>
                <w:kern w:val="0"/>
                <w:szCs w:val="22"/>
              </w:rPr>
            </w:pPr>
          </w:p>
        </w:tc>
        <w:tc>
          <w:tcPr>
            <w:tcW w:w="4354" w:type="dxa"/>
            <w:vAlign w:val="center"/>
          </w:tcPr>
          <w:p w14:paraId="01924F7D">
            <w:pPr>
              <w:widowControl/>
              <w:rPr>
                <w:rFonts w:ascii="宋体" w:hAnsi="宋体" w:cs="宋体"/>
                <w:color w:val="000000"/>
                <w:kern w:val="0"/>
                <w:szCs w:val="22"/>
              </w:rPr>
            </w:pPr>
            <w:r>
              <w:rPr>
                <w:rFonts w:hint="eastAsia" w:ascii="宋体" w:hAnsi="宋体" w:cs="宋体"/>
                <w:color w:val="000000"/>
                <w:kern w:val="0"/>
                <w:szCs w:val="22"/>
              </w:rPr>
              <w:t>（大写金额）：</w:t>
            </w:r>
          </w:p>
        </w:tc>
        <w:tc>
          <w:tcPr>
            <w:tcW w:w="1836" w:type="dxa"/>
            <w:vMerge w:val="continue"/>
            <w:vAlign w:val="center"/>
          </w:tcPr>
          <w:p w14:paraId="731D26AE">
            <w:pPr>
              <w:widowControl/>
              <w:jc w:val="center"/>
              <w:rPr>
                <w:rFonts w:ascii="宋体" w:hAnsi="宋体" w:cs="宋体"/>
                <w:color w:val="000000"/>
                <w:kern w:val="0"/>
                <w:szCs w:val="22"/>
              </w:rPr>
            </w:pPr>
          </w:p>
        </w:tc>
      </w:tr>
    </w:tbl>
    <w:p w14:paraId="49CD7911">
      <w:pPr>
        <w:pStyle w:val="5"/>
        <w:spacing w:after="156" w:afterLines="50" w:line="400" w:lineRule="exact"/>
        <w:ind w:firstLine="0" w:firstLineChars="0"/>
        <w:rPr>
          <w:rFonts w:ascii="宋体" w:hAnsi="宋体" w:cs="宋体"/>
          <w:sz w:val="21"/>
          <w:szCs w:val="21"/>
        </w:rPr>
      </w:pPr>
    </w:p>
    <w:p w14:paraId="65E4E12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注明</w:t>
      </w:r>
    </w:p>
    <w:p w14:paraId="6E26188F">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1.本项目含税报价总价不能超出项目预算金额人民币871,852.00元（含税），否则作否决响应处理。</w:t>
      </w:r>
    </w:p>
    <w:p w14:paraId="6E4FC558">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3A12DD7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710C633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6F5E522E">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67137559">
      <w:pPr>
        <w:pStyle w:val="5"/>
        <w:spacing w:after="156" w:afterLines="50" w:line="400" w:lineRule="exact"/>
        <w:ind w:firstLine="210" w:firstLineChars="100"/>
        <w:rPr>
          <w:rFonts w:ascii="宋体" w:hAnsi="宋体" w:cs="宋体"/>
          <w:sz w:val="21"/>
          <w:szCs w:val="21"/>
        </w:rPr>
      </w:pPr>
    </w:p>
    <w:p w14:paraId="2C98A7B6">
      <w:pPr>
        <w:pStyle w:val="5"/>
        <w:wordWrap w:val="0"/>
        <w:spacing w:after="156" w:afterLines="50" w:line="400" w:lineRule="exact"/>
        <w:ind w:firstLine="210" w:firstLineChars="100"/>
        <w:jc w:val="right"/>
        <w:rPr>
          <w:rFonts w:hint="default" w:ascii="宋体" w:hAnsi="宋体" w:cs="宋体"/>
          <w:sz w:val="21"/>
          <w:szCs w:val="21"/>
          <w:lang w:val="en-US" w:eastAsia="zh-CN"/>
        </w:rPr>
      </w:pPr>
      <w:r>
        <w:rPr>
          <w:rFonts w:hint="eastAsia" w:ascii="宋体" w:hAnsi="宋体" w:cs="宋体"/>
          <w:sz w:val="21"/>
          <w:szCs w:val="21"/>
        </w:rPr>
        <w:t>供应商（盖章）：</w:t>
      </w:r>
      <w:r>
        <w:rPr>
          <w:rFonts w:hint="eastAsia" w:ascii="宋体" w:hAnsi="宋体" w:cs="宋体"/>
          <w:sz w:val="21"/>
          <w:szCs w:val="21"/>
          <w:u w:val="single"/>
          <w:lang w:val="en-US" w:eastAsia="zh-CN"/>
        </w:rPr>
        <w:t xml:space="preserve">                 </w:t>
      </w:r>
    </w:p>
    <w:p w14:paraId="1F7A99BE">
      <w:pPr>
        <w:pStyle w:val="5"/>
        <w:wordWrap w:val="0"/>
        <w:spacing w:after="156" w:afterLines="50" w:line="400" w:lineRule="exact"/>
        <w:ind w:firstLine="210" w:firstLineChars="100"/>
        <w:jc w:val="right"/>
        <w:rPr>
          <w:rFonts w:hint="eastAsia" w:ascii="宋体" w:hAnsi="宋体" w:cs="宋体"/>
          <w:sz w:val="21"/>
          <w:szCs w:val="21"/>
        </w:rPr>
      </w:pPr>
      <w:r>
        <w:rPr>
          <w:rFonts w:hint="eastAsia" w:ascii="宋体" w:hAnsi="宋体" w:cs="宋体"/>
          <w:sz w:val="21"/>
          <w:szCs w:val="21"/>
        </w:rPr>
        <w:t>法定代表人/负责人或授权代表人（签字）：</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14:paraId="673301E6">
      <w:pPr>
        <w:pStyle w:val="5"/>
        <w:wordWrap w:val="0"/>
        <w:spacing w:after="156" w:afterLines="50" w:line="400" w:lineRule="exact"/>
        <w:ind w:firstLine="210" w:firstLineChars="100"/>
        <w:jc w:val="right"/>
        <w:rPr>
          <w:rFonts w:hint="eastAsia" w:ascii="宋体" w:hAnsi="宋体" w:cs="宋体"/>
          <w:sz w:val="21"/>
          <w:szCs w:val="21"/>
        </w:rPr>
      </w:pPr>
      <w:r>
        <w:rPr>
          <w:rFonts w:hint="eastAsia" w:ascii="宋体" w:hAnsi="宋体" w:cs="宋体"/>
          <w:sz w:val="21"/>
          <w:szCs w:val="21"/>
        </w:rPr>
        <w:t>日期 ：    年     月     日</w:t>
      </w:r>
    </w:p>
    <w:p w14:paraId="6B8B0AD8">
      <w:pPr>
        <w:rPr>
          <w:rFonts w:ascii="宋体" w:hAnsi="宋体" w:cs="宋体"/>
        </w:rPr>
      </w:pPr>
      <w:r>
        <w:rPr>
          <w:rFonts w:hint="eastAsia" w:ascii="宋体" w:hAnsi="宋体" w:cs="宋体"/>
        </w:rPr>
        <w:br w:type="page"/>
      </w:r>
    </w:p>
    <w:p w14:paraId="464557BF">
      <w:pPr>
        <w:pStyle w:val="2"/>
        <w:jc w:val="center"/>
        <w:rPr>
          <w:rFonts w:ascii="宋体" w:hAnsi="宋体" w:cs="宋体"/>
          <w:b/>
          <w:bCs w:val="0"/>
          <w:sz w:val="32"/>
          <w:szCs w:val="32"/>
        </w:rPr>
      </w:pPr>
      <w:bookmarkStart w:id="89" w:name="_Toc29042"/>
      <w:bookmarkStart w:id="90" w:name="_Toc125"/>
      <w:r>
        <w:rPr>
          <w:rFonts w:hint="eastAsia" w:ascii="宋体" w:hAnsi="宋体" w:cs="宋体"/>
          <w:b/>
          <w:bCs w:val="0"/>
          <w:sz w:val="32"/>
          <w:szCs w:val="32"/>
        </w:rPr>
        <w:t>第七章</w:t>
      </w:r>
      <w:r>
        <w:rPr>
          <w:rFonts w:hint="eastAsia" w:ascii="宋体" w:hAnsi="宋体" w:cs="宋体"/>
          <w:b/>
          <w:bCs w:val="0"/>
          <w:sz w:val="32"/>
          <w:szCs w:val="32"/>
          <w:lang w:val="en-US" w:eastAsia="zh-CN"/>
        </w:rPr>
        <w:t xml:space="preserve"> </w:t>
      </w:r>
      <w:r>
        <w:rPr>
          <w:rFonts w:hint="eastAsia" w:ascii="宋体" w:hAnsi="宋体" w:cs="宋体"/>
          <w:b/>
          <w:bCs w:val="0"/>
          <w:sz w:val="32"/>
          <w:szCs w:val="32"/>
        </w:rPr>
        <w:t>采购需求文件领取登记表</w:t>
      </w:r>
      <w:bookmarkEnd w:id="89"/>
      <w:bookmarkEnd w:id="90"/>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78EB279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823FE3">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32AEE53B">
            <w:pPr>
              <w:widowControl/>
              <w:jc w:val="center"/>
              <w:rPr>
                <w:rFonts w:ascii="宋体" w:hAnsi="宋体" w:cs="宋体"/>
                <w:kern w:val="0"/>
                <w:sz w:val="24"/>
                <w:szCs w:val="24"/>
              </w:rPr>
            </w:pPr>
            <w:r>
              <w:rPr>
                <w:rFonts w:hint="eastAsia" w:ascii="宋体" w:hAnsi="宋体" w:cs="宋体"/>
                <w:spacing w:val="0"/>
                <w:kern w:val="0"/>
                <w:sz w:val="24"/>
                <w:szCs w:val="24"/>
                <w:highlight w:val="none"/>
              </w:rPr>
              <w:t>SZJM-2025-</w:t>
            </w:r>
            <w:r>
              <w:rPr>
                <w:rFonts w:hint="eastAsia" w:ascii="宋体" w:hAnsi="宋体" w:cs="宋体"/>
                <w:spacing w:val="0"/>
                <w:kern w:val="0"/>
                <w:sz w:val="24"/>
                <w:szCs w:val="24"/>
                <w:highlight w:val="none"/>
                <w:lang w:val="en-US" w:eastAsia="zh-CN"/>
              </w:rPr>
              <w:t>11</w:t>
            </w:r>
            <w:r>
              <w:rPr>
                <w:rFonts w:hint="eastAsia" w:ascii="宋体" w:hAnsi="宋体" w:cs="宋体"/>
                <w:spacing w:val="0"/>
                <w:kern w:val="0"/>
                <w:sz w:val="24"/>
                <w:szCs w:val="24"/>
                <w:highlight w:val="none"/>
              </w:rPr>
              <w:t>-00</w:t>
            </w:r>
            <w:r>
              <w:rPr>
                <w:rFonts w:hint="eastAsia" w:ascii="宋体" w:hAnsi="宋体" w:cs="宋体"/>
                <w:spacing w:val="0"/>
                <w:kern w:val="0"/>
                <w:sz w:val="24"/>
                <w:szCs w:val="24"/>
                <w:highlight w:val="none"/>
                <w:lang w:val="en-US" w:eastAsia="zh-CN"/>
              </w:rPr>
              <w:t>5</w:t>
            </w:r>
          </w:p>
        </w:tc>
      </w:tr>
      <w:tr w14:paraId="1458F332">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C0D8AC">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47EEE962">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数字江门网络建设有限公司园区系统建设项目</w:t>
            </w:r>
          </w:p>
        </w:tc>
      </w:tr>
      <w:tr w14:paraId="3F02E561">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042EDA9D">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5F6734BD">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6DE700F7">
            <w:pPr>
              <w:widowControl/>
              <w:jc w:val="center"/>
              <w:rPr>
                <w:rFonts w:ascii="宋体" w:hAnsi="宋体" w:cs="宋体"/>
                <w:kern w:val="0"/>
                <w:sz w:val="24"/>
                <w:szCs w:val="24"/>
              </w:rPr>
            </w:pPr>
          </w:p>
        </w:tc>
      </w:tr>
      <w:tr w14:paraId="3808C7B3">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57C3A7B8">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F30B0A9">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07CB5017">
            <w:pPr>
              <w:widowControl/>
              <w:jc w:val="center"/>
              <w:rPr>
                <w:rFonts w:ascii="宋体" w:hAnsi="宋体" w:cs="宋体"/>
                <w:kern w:val="0"/>
                <w:sz w:val="24"/>
                <w:szCs w:val="24"/>
              </w:rPr>
            </w:pPr>
          </w:p>
        </w:tc>
      </w:tr>
      <w:tr w14:paraId="5679C143">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0FAECBA4">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19A4B16">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5E070E5D">
            <w:pPr>
              <w:widowControl/>
              <w:jc w:val="center"/>
              <w:rPr>
                <w:rFonts w:ascii="宋体" w:hAnsi="宋体" w:cs="宋体"/>
                <w:kern w:val="0"/>
                <w:sz w:val="24"/>
                <w:szCs w:val="24"/>
              </w:rPr>
            </w:pPr>
          </w:p>
        </w:tc>
      </w:tr>
      <w:tr w14:paraId="77D19580">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877D0A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21C19A">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301FED63">
            <w:pPr>
              <w:widowControl/>
              <w:jc w:val="center"/>
              <w:rPr>
                <w:rFonts w:ascii="宋体" w:hAnsi="宋体" w:cs="宋体"/>
                <w:kern w:val="0"/>
                <w:sz w:val="24"/>
                <w:szCs w:val="24"/>
              </w:rPr>
            </w:pPr>
          </w:p>
        </w:tc>
      </w:tr>
      <w:tr w14:paraId="2F699834">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C2BC5E0">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1E7FF518">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3FCC469">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74F37226">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2997B9A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69963C2">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05743B3">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2F54D1D4">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058FF3CC">
            <w:pPr>
              <w:widowControl/>
              <w:jc w:val="center"/>
              <w:rPr>
                <w:rFonts w:ascii="宋体" w:hAnsi="宋体" w:cs="宋体"/>
                <w:b/>
                <w:bCs/>
                <w:kern w:val="0"/>
                <w:sz w:val="24"/>
                <w:szCs w:val="24"/>
              </w:rPr>
            </w:pPr>
          </w:p>
        </w:tc>
      </w:tr>
      <w:tr w14:paraId="7175144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9D74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D5D064B">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D0E42E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1EED8AD7">
            <w:pPr>
              <w:widowControl/>
              <w:jc w:val="center"/>
              <w:rPr>
                <w:rFonts w:ascii="宋体" w:hAnsi="宋体" w:cs="宋体"/>
                <w:kern w:val="0"/>
                <w:sz w:val="24"/>
                <w:szCs w:val="24"/>
              </w:rPr>
            </w:pPr>
          </w:p>
        </w:tc>
      </w:tr>
      <w:tr w14:paraId="0E75E54D">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4319FBF">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90E6E35">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798C48BE">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2B4CC4BA">
            <w:pPr>
              <w:widowControl/>
              <w:jc w:val="center"/>
              <w:rPr>
                <w:rFonts w:ascii="宋体" w:hAnsi="宋体" w:cs="宋体"/>
                <w:kern w:val="0"/>
                <w:sz w:val="24"/>
                <w:szCs w:val="24"/>
              </w:rPr>
            </w:pPr>
          </w:p>
        </w:tc>
      </w:tr>
      <w:tr w14:paraId="24BD260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16CED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1E6B246">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642D2FED">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376EB47">
            <w:pPr>
              <w:widowControl/>
              <w:jc w:val="center"/>
              <w:rPr>
                <w:rFonts w:ascii="宋体" w:hAnsi="宋体" w:cs="宋体"/>
                <w:kern w:val="0"/>
                <w:sz w:val="24"/>
                <w:szCs w:val="24"/>
              </w:rPr>
            </w:pPr>
          </w:p>
        </w:tc>
      </w:tr>
      <w:tr w14:paraId="0C9E6195">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C840F6">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21880B6B">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1C500FC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301F502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6E23283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08B5C2F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1359CF84">
            <w:pPr>
              <w:widowControl/>
              <w:spacing w:line="360" w:lineRule="auto"/>
              <w:rPr>
                <w:rFonts w:ascii="宋体" w:hAnsi="宋体" w:cs="宋体"/>
                <w:i/>
                <w:iCs/>
                <w:kern w:val="0"/>
                <w:sz w:val="24"/>
                <w:szCs w:val="24"/>
              </w:rPr>
            </w:pPr>
          </w:p>
          <w:p w14:paraId="4A4DBFDD">
            <w:pPr>
              <w:widowControl/>
              <w:spacing w:line="360" w:lineRule="auto"/>
              <w:ind w:left="0" w:leftChars="0" w:firstLine="3360" w:firstLineChars="1400"/>
              <w:jc w:val="left"/>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14:paraId="12CBE3BB">
            <w:pPr>
              <w:widowControl/>
              <w:spacing w:line="360" w:lineRule="auto"/>
              <w:ind w:left="0" w:leftChars="0" w:firstLine="5040" w:firstLineChars="2100"/>
              <w:jc w:val="left"/>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年    月</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日</w:t>
            </w:r>
          </w:p>
        </w:tc>
      </w:tr>
    </w:tbl>
    <w:p w14:paraId="025BBD3E">
      <w:pPr>
        <w:rPr>
          <w:rFonts w:ascii="宋体" w:hAnsi="宋体" w:cs="宋体"/>
        </w:rPr>
      </w:pPr>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F2D1">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4D37B623">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DA55">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6F460">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786C">
    <w:pPr>
      <w:pStyle w:val="47"/>
      <w:jc w:val="center"/>
    </w:pPr>
    <w:r>
      <w:fldChar w:fldCharType="begin"/>
    </w:r>
    <w:r>
      <w:instrText xml:space="preserve"> PAGE   \* MERGEFORMAT </w:instrText>
    </w:r>
    <w:r>
      <w:fldChar w:fldCharType="separate"/>
    </w:r>
    <w:r>
      <w:rPr>
        <w:lang w:val="zh-CN"/>
      </w:rPr>
      <w:t>27</w:t>
    </w:r>
    <w:r>
      <w:fldChar w:fldCharType="end"/>
    </w:r>
  </w:p>
  <w:p w14:paraId="4A266C06">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867D">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6B8F">
    <w:pPr>
      <w:pStyle w:val="47"/>
      <w:jc w:val="center"/>
    </w:pPr>
    <w:r>
      <w:fldChar w:fldCharType="begin"/>
    </w:r>
    <w:r>
      <w:instrText xml:space="preserve"> PAGE   \* MERGEFORMAT </w:instrText>
    </w:r>
    <w:r>
      <w:fldChar w:fldCharType="separate"/>
    </w:r>
    <w:r>
      <w:rPr>
        <w:lang w:val="zh-CN"/>
      </w:rPr>
      <w:t>1</w:t>
    </w:r>
    <w:r>
      <w:fldChar w:fldCharType="end"/>
    </w:r>
  </w:p>
  <w:p w14:paraId="4198716F">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7ED">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8AE6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B45E">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AB69">
    <w:pPr>
      <w:pStyle w:val="48"/>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6762">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A2FD">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C9182"/>
    <w:multiLevelType w:val="singleLevel"/>
    <w:tmpl w:val="803C9182"/>
    <w:lvl w:ilvl="0" w:tentative="0">
      <w:start w:val="1"/>
      <w:numFmt w:val="chineseCounting"/>
      <w:suff w:val="nothing"/>
      <w:lvlText w:val="（%1）"/>
      <w:lvlJc w:val="left"/>
      <w:pPr>
        <w:ind w:left="0" w:firstLine="420"/>
      </w:pPr>
      <w:rPr>
        <w:rFonts w:hint="eastAsia"/>
      </w:rPr>
    </w:lvl>
  </w:abstractNum>
  <w:abstractNum w:abstractNumId="1">
    <w:nsid w:val="BA02CBE9"/>
    <w:multiLevelType w:val="singleLevel"/>
    <w:tmpl w:val="BA02CBE9"/>
    <w:lvl w:ilvl="0" w:tentative="0">
      <w:start w:val="1"/>
      <w:numFmt w:val="chineseCounting"/>
      <w:suff w:val="nothing"/>
      <w:lvlText w:val="（%1）"/>
      <w:lvlJc w:val="left"/>
      <w:rPr>
        <w:rFonts w:hint="eastAsia"/>
      </w:rPr>
    </w:lvl>
  </w:abstractNum>
  <w:abstractNum w:abstractNumId="2">
    <w:nsid w:val="DC25E845"/>
    <w:multiLevelType w:val="singleLevel"/>
    <w:tmpl w:val="DC25E845"/>
    <w:lvl w:ilvl="0" w:tentative="0">
      <w:start w:val="1"/>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4">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6CB42C2"/>
    <w:multiLevelType w:val="singleLevel"/>
    <w:tmpl w:val="06CB42C2"/>
    <w:lvl w:ilvl="0" w:tentative="0">
      <w:start w:val="3"/>
      <w:numFmt w:val="decimal"/>
      <w:suff w:val="space"/>
      <w:lvlText w:val="%1."/>
      <w:lvlJc w:val="left"/>
    </w:lvl>
  </w:abstractNum>
  <w:abstractNum w:abstractNumId="8">
    <w:nsid w:val="0B09BE47"/>
    <w:multiLevelType w:val="singleLevel"/>
    <w:tmpl w:val="0B09BE47"/>
    <w:lvl w:ilvl="0" w:tentative="0">
      <w:start w:val="1"/>
      <w:numFmt w:val="chineseCounting"/>
      <w:suff w:val="nothing"/>
      <w:lvlText w:val="（%1）"/>
      <w:lvlJc w:val="left"/>
      <w:pPr>
        <w:ind w:left="0" w:firstLine="420"/>
      </w:pPr>
      <w:rPr>
        <w:rFonts w:hint="eastAsia"/>
      </w:rPr>
    </w:lvl>
  </w:abstractNum>
  <w:abstractNum w:abstractNumId="9">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FFE38AE"/>
    <w:multiLevelType w:val="singleLevel"/>
    <w:tmpl w:val="7FFE38AE"/>
    <w:lvl w:ilvl="0" w:tentative="0">
      <w:start w:val="1"/>
      <w:numFmt w:val="chineseCounting"/>
      <w:suff w:val="nothing"/>
      <w:lvlText w:val="（%1）"/>
      <w:lvlJc w:val="left"/>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4"/>
  </w:num>
  <w:num w:numId="5">
    <w:abstractNumId w:val="6"/>
  </w:num>
  <w:num w:numId="6">
    <w:abstractNumId w:val="1"/>
  </w:num>
  <w:num w:numId="7">
    <w:abstractNumId w:val="2"/>
  </w:num>
  <w:num w:numId="8">
    <w:abstractNumId w:val="8"/>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4462"/>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E73C0"/>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3A8"/>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4EDB"/>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AA4"/>
    <w:rsid w:val="00146B8F"/>
    <w:rsid w:val="001473C3"/>
    <w:rsid w:val="00147C1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C9A"/>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079"/>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4E53"/>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2BE"/>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4E0"/>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064"/>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2898"/>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0D"/>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77EB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3616"/>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48C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0ED"/>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20F"/>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4F8E"/>
    <w:rsid w:val="00726942"/>
    <w:rsid w:val="00726BB8"/>
    <w:rsid w:val="00726DB3"/>
    <w:rsid w:val="0072743C"/>
    <w:rsid w:val="00727939"/>
    <w:rsid w:val="00727A44"/>
    <w:rsid w:val="00727BB4"/>
    <w:rsid w:val="0073042B"/>
    <w:rsid w:val="00730756"/>
    <w:rsid w:val="00730953"/>
    <w:rsid w:val="00731715"/>
    <w:rsid w:val="007322D4"/>
    <w:rsid w:val="00732957"/>
    <w:rsid w:val="00732ADF"/>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1A2"/>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3A4D"/>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4B2"/>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2FAC"/>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C8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6DC2"/>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356"/>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C80"/>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AE3"/>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A757E"/>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66EA"/>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1E0C"/>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5F8D"/>
    <w:rsid w:val="00BF71B1"/>
    <w:rsid w:val="00BF72BF"/>
    <w:rsid w:val="00BF7A44"/>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024"/>
    <w:rsid w:val="00C412F4"/>
    <w:rsid w:val="00C41BD9"/>
    <w:rsid w:val="00C41C73"/>
    <w:rsid w:val="00C42210"/>
    <w:rsid w:val="00C42D04"/>
    <w:rsid w:val="00C42D61"/>
    <w:rsid w:val="00C435BE"/>
    <w:rsid w:val="00C43B97"/>
    <w:rsid w:val="00C44C72"/>
    <w:rsid w:val="00C4515A"/>
    <w:rsid w:val="00C4561A"/>
    <w:rsid w:val="00C45718"/>
    <w:rsid w:val="00C47CAB"/>
    <w:rsid w:val="00C50A63"/>
    <w:rsid w:val="00C5139E"/>
    <w:rsid w:val="00C51590"/>
    <w:rsid w:val="00C5199F"/>
    <w:rsid w:val="00C51D48"/>
    <w:rsid w:val="00C52041"/>
    <w:rsid w:val="00C52FFF"/>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5D3"/>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60F"/>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1D2"/>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5EE2"/>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29DC"/>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1E7D"/>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88"/>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6A6"/>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6DC"/>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1F6"/>
    <w:rsid w:val="00F27250"/>
    <w:rsid w:val="00F276B4"/>
    <w:rsid w:val="00F304A9"/>
    <w:rsid w:val="00F305DB"/>
    <w:rsid w:val="00F307D0"/>
    <w:rsid w:val="00F307F6"/>
    <w:rsid w:val="00F308FF"/>
    <w:rsid w:val="00F32053"/>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002E"/>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55946AC"/>
    <w:rsid w:val="05A36F5B"/>
    <w:rsid w:val="05E262FD"/>
    <w:rsid w:val="06893BF9"/>
    <w:rsid w:val="06CF69D2"/>
    <w:rsid w:val="07123DB1"/>
    <w:rsid w:val="086E0015"/>
    <w:rsid w:val="08BD6BBE"/>
    <w:rsid w:val="08D37010"/>
    <w:rsid w:val="09216FD8"/>
    <w:rsid w:val="09A65AC6"/>
    <w:rsid w:val="0AF61BBB"/>
    <w:rsid w:val="0C2E04FE"/>
    <w:rsid w:val="0C792DFD"/>
    <w:rsid w:val="0C7956EF"/>
    <w:rsid w:val="0CAC5B54"/>
    <w:rsid w:val="0CD84D44"/>
    <w:rsid w:val="0CE40284"/>
    <w:rsid w:val="0D6A7F96"/>
    <w:rsid w:val="0DB312F9"/>
    <w:rsid w:val="0DF63E5E"/>
    <w:rsid w:val="0EA33ED8"/>
    <w:rsid w:val="11DE6D98"/>
    <w:rsid w:val="134924C9"/>
    <w:rsid w:val="13B24E03"/>
    <w:rsid w:val="13C35CEB"/>
    <w:rsid w:val="13F52853"/>
    <w:rsid w:val="14247A7E"/>
    <w:rsid w:val="147C2292"/>
    <w:rsid w:val="14C21C47"/>
    <w:rsid w:val="153631E5"/>
    <w:rsid w:val="16895CFA"/>
    <w:rsid w:val="16EC75EE"/>
    <w:rsid w:val="16F47617"/>
    <w:rsid w:val="179A698F"/>
    <w:rsid w:val="189D2BB2"/>
    <w:rsid w:val="1955154C"/>
    <w:rsid w:val="19641AC6"/>
    <w:rsid w:val="19822A88"/>
    <w:rsid w:val="1ABD252B"/>
    <w:rsid w:val="1C1649C4"/>
    <w:rsid w:val="1C4F2690"/>
    <w:rsid w:val="1CDC262C"/>
    <w:rsid w:val="1D735D9A"/>
    <w:rsid w:val="1DF5735F"/>
    <w:rsid w:val="1E1258DC"/>
    <w:rsid w:val="1FA0776D"/>
    <w:rsid w:val="1FE43E2A"/>
    <w:rsid w:val="200503DA"/>
    <w:rsid w:val="22586A33"/>
    <w:rsid w:val="22822E66"/>
    <w:rsid w:val="2283EDAB"/>
    <w:rsid w:val="22910C20"/>
    <w:rsid w:val="235E4B96"/>
    <w:rsid w:val="239D6A85"/>
    <w:rsid w:val="256F0097"/>
    <w:rsid w:val="25EF714A"/>
    <w:rsid w:val="27C87EDA"/>
    <w:rsid w:val="27CCD5B8"/>
    <w:rsid w:val="27D28EBA"/>
    <w:rsid w:val="28763D5C"/>
    <w:rsid w:val="2A5C127B"/>
    <w:rsid w:val="2AE866F4"/>
    <w:rsid w:val="2B2B0D51"/>
    <w:rsid w:val="2D79412D"/>
    <w:rsid w:val="2E2F2E64"/>
    <w:rsid w:val="2F677E91"/>
    <w:rsid w:val="30234BCA"/>
    <w:rsid w:val="303223AB"/>
    <w:rsid w:val="303E2347"/>
    <w:rsid w:val="30536D05"/>
    <w:rsid w:val="309A6C2A"/>
    <w:rsid w:val="315B57FB"/>
    <w:rsid w:val="31E61C58"/>
    <w:rsid w:val="321361C0"/>
    <w:rsid w:val="3311733C"/>
    <w:rsid w:val="34B05393"/>
    <w:rsid w:val="34C157DA"/>
    <w:rsid w:val="361231BE"/>
    <w:rsid w:val="361B6DAA"/>
    <w:rsid w:val="367B5B85"/>
    <w:rsid w:val="36C44C41"/>
    <w:rsid w:val="386524FA"/>
    <w:rsid w:val="38D2550A"/>
    <w:rsid w:val="398E05CB"/>
    <w:rsid w:val="39D31B2C"/>
    <w:rsid w:val="3A9D708D"/>
    <w:rsid w:val="3AB87B54"/>
    <w:rsid w:val="3AE2511E"/>
    <w:rsid w:val="3B696BB2"/>
    <w:rsid w:val="3BD25E3D"/>
    <w:rsid w:val="3C3D2E72"/>
    <w:rsid w:val="3C4E7A45"/>
    <w:rsid w:val="3CA8A3E3"/>
    <w:rsid w:val="3CB412E3"/>
    <w:rsid w:val="3CEDD31C"/>
    <w:rsid w:val="3DC208A6"/>
    <w:rsid w:val="3E8E2111"/>
    <w:rsid w:val="40C91BCE"/>
    <w:rsid w:val="40CC6FA3"/>
    <w:rsid w:val="40EA5463"/>
    <w:rsid w:val="41AF039D"/>
    <w:rsid w:val="41C7780E"/>
    <w:rsid w:val="41F24259"/>
    <w:rsid w:val="428B9138"/>
    <w:rsid w:val="44351643"/>
    <w:rsid w:val="452574BE"/>
    <w:rsid w:val="4665733A"/>
    <w:rsid w:val="46A54D20"/>
    <w:rsid w:val="471ED600"/>
    <w:rsid w:val="478A08D9"/>
    <w:rsid w:val="47B4643C"/>
    <w:rsid w:val="47C75088"/>
    <w:rsid w:val="48AC356E"/>
    <w:rsid w:val="48B82345"/>
    <w:rsid w:val="48E517D9"/>
    <w:rsid w:val="4ABA7398"/>
    <w:rsid w:val="4B3F0C51"/>
    <w:rsid w:val="4C655FE8"/>
    <w:rsid w:val="4C8253B4"/>
    <w:rsid w:val="4CB81598"/>
    <w:rsid w:val="4DAC341A"/>
    <w:rsid w:val="4DDA6E61"/>
    <w:rsid w:val="4E0577A9"/>
    <w:rsid w:val="4EAB0FED"/>
    <w:rsid w:val="4F5F527B"/>
    <w:rsid w:val="4FEECA0F"/>
    <w:rsid w:val="508D731A"/>
    <w:rsid w:val="51660434"/>
    <w:rsid w:val="523D005B"/>
    <w:rsid w:val="5254A0DB"/>
    <w:rsid w:val="525953CA"/>
    <w:rsid w:val="526A2040"/>
    <w:rsid w:val="530E7B68"/>
    <w:rsid w:val="549B012B"/>
    <w:rsid w:val="55A65514"/>
    <w:rsid w:val="57A07595"/>
    <w:rsid w:val="57B91165"/>
    <w:rsid w:val="585E4FAE"/>
    <w:rsid w:val="586A4967"/>
    <w:rsid w:val="59101387"/>
    <w:rsid w:val="596B3EC3"/>
    <w:rsid w:val="5AD605FF"/>
    <w:rsid w:val="5B2D215B"/>
    <w:rsid w:val="5C200673"/>
    <w:rsid w:val="5C936557"/>
    <w:rsid w:val="5D8F147B"/>
    <w:rsid w:val="5E292F3B"/>
    <w:rsid w:val="5ED9BB00"/>
    <w:rsid w:val="5F166AEC"/>
    <w:rsid w:val="5F25C2F6"/>
    <w:rsid w:val="5FA5351B"/>
    <w:rsid w:val="603D070A"/>
    <w:rsid w:val="60AF3378"/>
    <w:rsid w:val="60EB4FCC"/>
    <w:rsid w:val="61CB5984"/>
    <w:rsid w:val="63313030"/>
    <w:rsid w:val="639A641D"/>
    <w:rsid w:val="646118FF"/>
    <w:rsid w:val="649334A5"/>
    <w:rsid w:val="649C39D4"/>
    <w:rsid w:val="66CD40FF"/>
    <w:rsid w:val="676120CB"/>
    <w:rsid w:val="678A26A8"/>
    <w:rsid w:val="67D256C5"/>
    <w:rsid w:val="68112412"/>
    <w:rsid w:val="6823258F"/>
    <w:rsid w:val="685350F5"/>
    <w:rsid w:val="688A4CB2"/>
    <w:rsid w:val="6A434932"/>
    <w:rsid w:val="6ADC40FD"/>
    <w:rsid w:val="6B15047D"/>
    <w:rsid w:val="6B52582F"/>
    <w:rsid w:val="6BC776D5"/>
    <w:rsid w:val="6C832144"/>
    <w:rsid w:val="6D571E9B"/>
    <w:rsid w:val="6E302175"/>
    <w:rsid w:val="6E626D60"/>
    <w:rsid w:val="6F1C6E50"/>
    <w:rsid w:val="6F274A3F"/>
    <w:rsid w:val="6F4E6188"/>
    <w:rsid w:val="6FA32D2C"/>
    <w:rsid w:val="70EED282"/>
    <w:rsid w:val="712A45D9"/>
    <w:rsid w:val="71407716"/>
    <w:rsid w:val="726621AE"/>
    <w:rsid w:val="727E1565"/>
    <w:rsid w:val="72C30645"/>
    <w:rsid w:val="7583075A"/>
    <w:rsid w:val="759A2B3C"/>
    <w:rsid w:val="76B4468B"/>
    <w:rsid w:val="77563D20"/>
    <w:rsid w:val="775BABA2"/>
    <w:rsid w:val="77925BFD"/>
    <w:rsid w:val="78763B37"/>
    <w:rsid w:val="791050F0"/>
    <w:rsid w:val="79E81ED3"/>
    <w:rsid w:val="79EBE7AA"/>
    <w:rsid w:val="79EC3F8D"/>
    <w:rsid w:val="7A5325B4"/>
    <w:rsid w:val="7A8913E8"/>
    <w:rsid w:val="7C9D68F3"/>
    <w:rsid w:val="7D9A4FE5"/>
    <w:rsid w:val="7DF055E7"/>
    <w:rsid w:val="7E224E14"/>
    <w:rsid w:val="7EED2A31"/>
    <w:rsid w:val="7EF77C8B"/>
    <w:rsid w:val="7F3F7AE3"/>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4"/>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5"/>
    <w:link w:val="9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8"/>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9"/>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88"/>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101"/>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7"/>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103"/>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4"/>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5"/>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6"/>
    <w:qFormat/>
    <w:uiPriority w:val="0"/>
    <w:pPr>
      <w:spacing w:after="120"/>
    </w:pPr>
    <w:rPr>
      <w:kern w:val="0"/>
      <w:sz w:val="20"/>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99"/>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2"/>
    <w:next w:val="22"/>
    <w:link w:val="123"/>
    <w:qFormat/>
    <w:uiPriority w:val="0"/>
    <w:rPr>
      <w:b/>
      <w:bCs/>
    </w:rPr>
  </w:style>
  <w:style w:type="paragraph" w:styleId="75">
    <w:name w:val="Body Text First Indent"/>
    <w:basedOn w:val="26"/>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6 Char"/>
    <w:link w:val="8"/>
    <w:qFormat/>
    <w:uiPriority w:val="0"/>
    <w:rPr>
      <w:rFonts w:ascii="Cambria" w:hAnsi="Cambria" w:eastAsia="宋体" w:cs="Times New Roman"/>
      <w:b/>
      <w:bCs/>
      <w:sz w:val="24"/>
      <w:szCs w:val="24"/>
    </w:rPr>
  </w:style>
  <w:style w:type="character" w:customStyle="1" w:styleId="89">
    <w:name w:val="标题 1 字符"/>
    <w:qFormat/>
    <w:uiPriority w:val="0"/>
    <w:rPr>
      <w:rFonts w:ascii="Times New Roman" w:hAnsi="Times New Roman" w:eastAsia="宋体" w:cs="Times New Roman"/>
      <w:b/>
      <w:bCs/>
      <w:kern w:val="44"/>
      <w:sz w:val="44"/>
      <w:szCs w:val="44"/>
    </w:rPr>
  </w:style>
  <w:style w:type="character" w:customStyle="1" w:styleId="90">
    <w:name w:val="标题 3 字符"/>
    <w:qFormat/>
    <w:uiPriority w:val="0"/>
    <w:rPr>
      <w:rFonts w:ascii="Times New Roman" w:hAnsi="Times New Roman" w:eastAsia="宋体" w:cs="Times New Roman"/>
      <w:b/>
      <w:bCs/>
      <w:sz w:val="32"/>
      <w:szCs w:val="32"/>
    </w:rPr>
  </w:style>
  <w:style w:type="character" w:customStyle="1" w:styleId="91">
    <w:name w:val="标题 2 字符"/>
    <w:qFormat/>
    <w:uiPriority w:val="0"/>
    <w:rPr>
      <w:rFonts w:ascii="Cambria" w:hAnsi="Cambria" w:eastAsia="宋体" w:cs="Times New Roman"/>
      <w:b/>
      <w:bCs/>
      <w:sz w:val="32"/>
      <w:szCs w:val="32"/>
    </w:rPr>
  </w:style>
  <w:style w:type="paragraph" w:customStyle="1" w:styleId="92">
    <w:name w:val="表格正文"/>
    <w:basedOn w:val="1"/>
    <w:qFormat/>
    <w:uiPriority w:val="0"/>
    <w:pPr>
      <w:adjustRightInd w:val="0"/>
      <w:spacing w:line="400" w:lineRule="exact"/>
      <w:jc w:val="center"/>
    </w:pPr>
    <w:rPr>
      <w:rFonts w:ascii="Calibri" w:hAnsi="Calibri"/>
      <w:szCs w:val="24"/>
    </w:rPr>
  </w:style>
  <w:style w:type="paragraph" w:customStyle="1" w:styleId="93">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4">
    <w:name w:val="标题 2 Char"/>
    <w:link w:val="3"/>
    <w:qFormat/>
    <w:uiPriority w:val="0"/>
    <w:rPr>
      <w:rFonts w:ascii="Cambria" w:hAnsi="Cambria" w:eastAsia="宋体" w:cs="Times New Roman"/>
      <w:b/>
      <w:bCs/>
      <w:sz w:val="32"/>
      <w:szCs w:val="32"/>
    </w:rPr>
  </w:style>
  <w:style w:type="character" w:customStyle="1" w:styleId="95">
    <w:name w:val="标题 1 Char"/>
    <w:link w:val="2"/>
    <w:qFormat/>
    <w:uiPriority w:val="0"/>
    <w:rPr>
      <w:rFonts w:ascii="Times New Roman" w:hAnsi="Times New Roman" w:eastAsia="宋体" w:cs="Times New Roman"/>
      <w:b/>
      <w:bCs/>
      <w:kern w:val="44"/>
      <w:sz w:val="44"/>
      <w:szCs w:val="44"/>
    </w:rPr>
  </w:style>
  <w:style w:type="character" w:customStyle="1" w:styleId="96">
    <w:name w:val="标题 3 Char"/>
    <w:link w:val="4"/>
    <w:qFormat/>
    <w:uiPriority w:val="0"/>
    <w:rPr>
      <w:rFonts w:ascii="Times New Roman" w:hAnsi="Times New Roman" w:eastAsia="宋体" w:cs="Times New Roman"/>
      <w:b/>
      <w:bCs/>
      <w:sz w:val="32"/>
      <w:szCs w:val="32"/>
    </w:rPr>
  </w:style>
  <w:style w:type="character" w:customStyle="1" w:styleId="97">
    <w:name w:val="正文缩进 Char"/>
    <w:link w:val="5"/>
    <w:qFormat/>
    <w:uiPriority w:val="0"/>
    <w:rPr>
      <w:rFonts w:ascii="Times New Roman" w:hAnsi="Times New Roman" w:eastAsia="宋体" w:cs="Times New Roman"/>
      <w:szCs w:val="24"/>
    </w:rPr>
  </w:style>
  <w:style w:type="character" w:customStyle="1" w:styleId="98">
    <w:name w:val="标题 4 Char"/>
    <w:link w:val="6"/>
    <w:qFormat/>
    <w:uiPriority w:val="1"/>
    <w:rPr>
      <w:rFonts w:ascii="Cambria" w:hAnsi="Cambria" w:eastAsia="宋体" w:cs="Times New Roman"/>
      <w:b/>
      <w:bCs/>
      <w:sz w:val="28"/>
      <w:szCs w:val="28"/>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7 Char"/>
    <w:link w:val="9"/>
    <w:qFormat/>
    <w:uiPriority w:val="0"/>
    <w:rPr>
      <w:rFonts w:ascii="Times New Roman" w:hAnsi="Times New Roman" w:eastAsia="宋体" w:cs="Times New Roman"/>
      <w:b/>
      <w:bCs/>
      <w:sz w:val="24"/>
      <w:szCs w:val="24"/>
    </w:rPr>
  </w:style>
  <w:style w:type="character" w:customStyle="1" w:styleId="101">
    <w:name w:val="标题 8 Char"/>
    <w:link w:val="10"/>
    <w:semiHidden/>
    <w:qFormat/>
    <w:uiPriority w:val="0"/>
    <w:rPr>
      <w:rFonts w:ascii="Cambria" w:hAnsi="Cambria" w:eastAsia="宋体" w:cs="Times New Roman"/>
      <w:kern w:val="2"/>
      <w:sz w:val="24"/>
      <w:szCs w:val="24"/>
    </w:rPr>
  </w:style>
  <w:style w:type="character" w:customStyle="1" w:styleId="102">
    <w:name w:val="标题 9 Char"/>
    <w:link w:val="11"/>
    <w:semiHidden/>
    <w:qFormat/>
    <w:uiPriority w:val="0"/>
    <w:rPr>
      <w:rFonts w:ascii="Cambria" w:hAnsi="Cambria" w:eastAsia="宋体" w:cs="Times New Roman"/>
      <w:kern w:val="2"/>
      <w:sz w:val="21"/>
      <w:szCs w:val="21"/>
    </w:rPr>
  </w:style>
  <w:style w:type="character" w:customStyle="1" w:styleId="103">
    <w:name w:val="文档结构图 Char"/>
    <w:link w:val="20"/>
    <w:qFormat/>
    <w:uiPriority w:val="0"/>
    <w:rPr>
      <w:rFonts w:ascii="宋体" w:hAnsi="Times New Roman" w:eastAsia="宋体" w:cs="Times New Roman"/>
      <w:sz w:val="18"/>
      <w:szCs w:val="18"/>
    </w:rPr>
  </w:style>
  <w:style w:type="character" w:customStyle="1" w:styleId="104">
    <w:name w:val="批注文字 Char"/>
    <w:link w:val="22"/>
    <w:qFormat/>
    <w:uiPriority w:val="0"/>
    <w:rPr>
      <w:rFonts w:ascii="Times New Roman" w:hAnsi="Times New Roman" w:eastAsia="宋体" w:cs="Times New Roman"/>
      <w:szCs w:val="20"/>
    </w:rPr>
  </w:style>
  <w:style w:type="character" w:customStyle="1" w:styleId="105">
    <w:name w:val="正文文本 3 Char"/>
    <w:link w:val="24"/>
    <w:qFormat/>
    <w:uiPriority w:val="0"/>
    <w:rPr>
      <w:rFonts w:ascii="宋体" w:hAnsi="Times New Roman" w:eastAsia="宋体" w:cs="Times New Roman"/>
      <w:sz w:val="24"/>
      <w:szCs w:val="20"/>
    </w:rPr>
  </w:style>
  <w:style w:type="character" w:customStyle="1" w:styleId="106">
    <w:name w:val="正文文本 Char1"/>
    <w:link w:val="26"/>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99"/>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34"/>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3"/>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0"/>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6"/>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90</Pages>
  <Words>46334</Words>
  <Characters>57421</Characters>
  <Lines>792</Lines>
  <Paragraphs>773</Paragraphs>
  <TotalTime>10</TotalTime>
  <ScaleCrop>false</ScaleCrop>
  <LinksUpToDate>false</LinksUpToDate>
  <CharactersWithSpaces>60242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岑可儿</cp:lastModifiedBy>
  <cp:lastPrinted>2025-04-01T03:55:00Z</cp:lastPrinted>
  <dcterms:modified xsi:type="dcterms:W3CDTF">2025-11-19T01:37:07Z</dcterms:modified>
  <dc:title>珠海联通局房保安服务项目</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A4A8E069C2ED4E2196D61C10241BD8EF_13</vt:lpwstr>
  </property>
  <property fmtid="{D5CDD505-2E9C-101B-9397-08002B2CF9AE}" pid="4" name="KSOTemplateDocerSaveRecord">
    <vt:lpwstr>eyJoZGlkIjoiNzRiOTAxODUzZGRlNTYwYjkzNDc3NjY4ODhmZDc1NmUiLCJ1c2VySWQiOiIyNTU0NDgxNzIifQ==</vt:lpwstr>
  </property>
</Properties>
</file>