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DF799">
      <w:pPr>
        <w:spacing w:line="700" w:lineRule="exact"/>
        <w:jc w:val="center"/>
        <w:rPr>
          <w:rFonts w:hint="eastAsia" w:ascii="仿宋" w:hAnsi="仿宋" w:eastAsia="仿宋" w:cs="仿宋"/>
          <w:b/>
          <w:bCs/>
          <w:spacing w:val="-20"/>
          <w:sz w:val="44"/>
          <w:szCs w:val="44"/>
          <w:lang w:val="en-US" w:eastAsia="zh-CN"/>
        </w:rPr>
      </w:pPr>
      <w:r>
        <w:rPr>
          <w:rFonts w:hint="eastAsia" w:ascii="仿宋" w:hAnsi="仿宋" w:eastAsia="仿宋" w:cs="仿宋"/>
          <w:b/>
          <w:bCs/>
          <w:sz w:val="44"/>
          <w:szCs w:val="44"/>
        </w:rPr>
        <w:t>数字江门网络建设有限公司</w:t>
      </w:r>
      <w:r>
        <w:rPr>
          <w:rFonts w:hint="eastAsia" w:ascii="仿宋" w:hAnsi="仿宋" w:eastAsia="仿宋" w:cs="仿宋"/>
          <w:b/>
          <w:bCs/>
          <w:sz w:val="44"/>
          <w:szCs w:val="44"/>
          <w:lang w:val="en-US" w:eastAsia="zh-CN"/>
        </w:rPr>
        <w:t>采购项目</w:t>
      </w:r>
      <w:r>
        <w:rPr>
          <w:rFonts w:hint="eastAsia" w:ascii="仿宋" w:hAnsi="仿宋" w:eastAsia="仿宋" w:cs="仿宋"/>
          <w:b/>
          <w:bCs/>
          <w:sz w:val="44"/>
          <w:szCs w:val="44"/>
        </w:rPr>
        <w:t>招标代理服务采购</w:t>
      </w:r>
      <w:r>
        <w:rPr>
          <w:rFonts w:hint="eastAsia" w:ascii="仿宋" w:hAnsi="仿宋" w:eastAsia="仿宋" w:cs="仿宋"/>
          <w:b/>
          <w:bCs/>
          <w:sz w:val="44"/>
          <w:szCs w:val="44"/>
          <w:lang w:eastAsia="zh-CN"/>
        </w:rPr>
        <w:t>询比</w:t>
      </w:r>
      <w:r>
        <w:rPr>
          <w:rFonts w:hint="eastAsia" w:ascii="仿宋" w:hAnsi="仿宋" w:eastAsia="仿宋" w:cs="仿宋"/>
          <w:b/>
          <w:bCs/>
          <w:spacing w:val="-20"/>
          <w:sz w:val="44"/>
          <w:szCs w:val="44"/>
          <w:lang w:val="en-US" w:eastAsia="zh-CN"/>
        </w:rPr>
        <w:t>公告</w:t>
      </w:r>
    </w:p>
    <w:p w14:paraId="29DD0663">
      <w:pPr>
        <w:spacing w:line="400" w:lineRule="exact"/>
        <w:jc w:val="center"/>
        <w:rPr>
          <w:rFonts w:ascii="仿宋" w:hAnsi="仿宋" w:eastAsia="仿宋" w:cs="仿宋"/>
        </w:rPr>
      </w:pPr>
      <w:bookmarkStart w:id="0" w:name="_GoBack"/>
      <w:bookmarkEnd w:id="0"/>
    </w:p>
    <w:p w14:paraId="22B53B40">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根据数字江门网络建设有限公司（以下称采购人）</w:t>
      </w:r>
      <w:r>
        <w:rPr>
          <w:rFonts w:hint="eastAsia" w:ascii="仿宋" w:hAnsi="仿宋" w:eastAsia="仿宋" w:cs="仿宋"/>
          <w:sz w:val="32"/>
          <w:szCs w:val="32"/>
          <w:lang w:eastAsia="zh-CN"/>
        </w:rPr>
        <w:t>的</w:t>
      </w:r>
      <w:r>
        <w:rPr>
          <w:rFonts w:hint="eastAsia" w:ascii="仿宋" w:hAnsi="仿宋" w:eastAsia="仿宋" w:cs="仿宋"/>
          <w:sz w:val="32"/>
          <w:szCs w:val="32"/>
        </w:rPr>
        <w:t>项目采购需要，我司特向贵司拟采用公开</w:t>
      </w:r>
      <w:r>
        <w:rPr>
          <w:rFonts w:hint="eastAsia" w:ascii="仿宋" w:hAnsi="仿宋" w:eastAsia="仿宋" w:cs="仿宋"/>
          <w:sz w:val="32"/>
          <w:szCs w:val="32"/>
          <w:lang w:val="en-US" w:eastAsia="zh-CN"/>
        </w:rPr>
        <w:t>询比</w:t>
      </w:r>
      <w:r>
        <w:rPr>
          <w:rFonts w:hint="eastAsia" w:ascii="仿宋" w:hAnsi="仿宋" w:eastAsia="仿宋" w:cs="仿宋"/>
          <w:sz w:val="32"/>
          <w:szCs w:val="32"/>
        </w:rPr>
        <w:t>方式选取采购代理机构，现就该服务项目情况及相关要求说明如下：</w:t>
      </w:r>
    </w:p>
    <w:p w14:paraId="5AAC0E71">
      <w:pPr>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一、采购内容和范围</w:t>
      </w:r>
    </w:p>
    <w:p w14:paraId="0244C6B2">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（一）项目名称：数字江门网络建设有限公司采购项目招标代理服务</w:t>
      </w:r>
    </w:p>
    <w:p w14:paraId="62105E64">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（二）项目内容：成交人按采购人要求负责</w:t>
      </w:r>
      <w:r>
        <w:rPr>
          <w:rFonts w:hint="eastAsia" w:ascii="仿宋" w:hAnsi="仿宋" w:eastAsia="仿宋" w:cs="仿宋"/>
          <w:sz w:val="32"/>
          <w:szCs w:val="32"/>
          <w:lang w:eastAsia="zh-CN"/>
        </w:rPr>
        <w:t>“数字江门网络建设有限公司信用模型建设项目”（预算金额：人民币</w:t>
      </w:r>
      <w:r>
        <w:rPr>
          <w:rFonts w:hint="default" w:ascii="仿宋" w:hAnsi="仿宋" w:eastAsia="仿宋" w:cs="仿宋"/>
          <w:sz w:val="32"/>
          <w:szCs w:val="32"/>
          <w:lang w:val="en-US" w:eastAsia="zh-CN"/>
        </w:rPr>
        <w:t>16</w:t>
      </w:r>
      <w:r>
        <w:rPr>
          <w:rFonts w:hint="eastAsia" w:ascii="仿宋" w:hAnsi="仿宋" w:eastAsia="仿宋" w:cs="仿宋"/>
          <w:sz w:val="32"/>
          <w:szCs w:val="32"/>
          <w:lang w:val="en-US" w:eastAsia="zh-CN"/>
        </w:rPr>
        <w:t>万元整）</w:t>
      </w:r>
      <w:r>
        <w:rPr>
          <w:rFonts w:hint="eastAsia" w:ascii="仿宋" w:hAnsi="仿宋" w:eastAsia="仿宋" w:cs="仿宋"/>
          <w:sz w:val="32"/>
          <w:szCs w:val="32"/>
          <w:lang w:eastAsia="zh-CN"/>
        </w:rPr>
        <w:t>、“数字江门网络建设有限公司《个体工商户信用信息应用指南》</w:t>
      </w:r>
      <w:r>
        <w:rPr>
          <w:rFonts w:hint="eastAsia" w:ascii="仿宋" w:hAnsi="仿宋" w:eastAsia="仿宋" w:cs="仿宋"/>
          <w:sz w:val="32"/>
          <w:szCs w:val="32"/>
          <w:lang w:val="en-US" w:eastAsia="zh-CN"/>
        </w:rPr>
        <w:t>编制服务项目</w:t>
      </w:r>
      <w:r>
        <w:rPr>
          <w:rFonts w:hint="eastAsia" w:ascii="仿宋" w:hAnsi="仿宋" w:eastAsia="仿宋" w:cs="仿宋"/>
          <w:sz w:val="32"/>
          <w:szCs w:val="32"/>
          <w:lang w:eastAsia="zh-CN"/>
        </w:rPr>
        <w:t>”（预算金额：人民币</w:t>
      </w:r>
      <w:r>
        <w:rPr>
          <w:rFonts w:hint="default" w:ascii="仿宋" w:hAnsi="仿宋" w:eastAsia="仿宋" w:cs="仿宋"/>
          <w:sz w:val="32"/>
          <w:szCs w:val="32"/>
          <w:lang w:val="en-US" w:eastAsia="zh-CN"/>
        </w:rPr>
        <w:t>25</w:t>
      </w:r>
      <w:r>
        <w:rPr>
          <w:rFonts w:hint="eastAsia" w:ascii="仿宋" w:hAnsi="仿宋" w:eastAsia="仿宋" w:cs="仿宋"/>
          <w:sz w:val="32"/>
          <w:szCs w:val="32"/>
          <w:lang w:val="en-US" w:eastAsia="zh-CN"/>
        </w:rPr>
        <w:t>万元整）</w:t>
      </w:r>
      <w:r>
        <w:rPr>
          <w:rFonts w:hint="eastAsia" w:ascii="仿宋" w:hAnsi="仿宋" w:eastAsia="仿宋" w:cs="仿宋"/>
          <w:sz w:val="32"/>
          <w:szCs w:val="32"/>
        </w:rPr>
        <w:t>招标代理服务采购文件编制，组织标前会，挂网，开标，评标，开标结果公示及中标（成交）通知书发放等事项。</w:t>
      </w:r>
    </w:p>
    <w:p w14:paraId="26CA92C4">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（三）采购范围：拟采用</w:t>
      </w:r>
      <w:r>
        <w:rPr>
          <w:rFonts w:hint="eastAsia" w:ascii="仿宋" w:hAnsi="仿宋" w:eastAsia="仿宋" w:cs="仿宋"/>
          <w:sz w:val="32"/>
          <w:szCs w:val="32"/>
          <w:lang w:eastAsia="zh-CN"/>
        </w:rPr>
        <w:t>询比</w:t>
      </w:r>
      <w:r>
        <w:rPr>
          <w:rFonts w:hint="eastAsia" w:ascii="仿宋" w:hAnsi="仿宋" w:eastAsia="仿宋" w:cs="仿宋"/>
          <w:sz w:val="32"/>
          <w:szCs w:val="32"/>
          <w:lang w:val="en-US" w:eastAsia="zh-CN"/>
        </w:rPr>
        <w:t>的方式开展“数字江门网络建设有限公司信用模型建设项目”、“数字江门网络建设有限公司《个体工商户信用信息应用指南》编制服务项目”的</w:t>
      </w:r>
      <w:r>
        <w:rPr>
          <w:rFonts w:hint="eastAsia" w:ascii="仿宋" w:hAnsi="仿宋" w:eastAsia="仿宋" w:cs="仿宋"/>
          <w:sz w:val="32"/>
          <w:szCs w:val="32"/>
        </w:rPr>
        <w:t>采购</w:t>
      </w:r>
      <w:r>
        <w:rPr>
          <w:rFonts w:hint="eastAsia" w:ascii="仿宋" w:hAnsi="仿宋" w:eastAsia="仿宋" w:cs="仿宋"/>
          <w:sz w:val="32"/>
          <w:szCs w:val="32"/>
          <w:lang w:val="en-US" w:eastAsia="zh-CN"/>
        </w:rPr>
        <w:t>活动，</w:t>
      </w:r>
      <w:r>
        <w:rPr>
          <w:rFonts w:hint="eastAsia" w:ascii="仿宋" w:hAnsi="仿宋" w:eastAsia="仿宋" w:cs="仿宋"/>
          <w:sz w:val="32"/>
          <w:szCs w:val="32"/>
        </w:rPr>
        <w:t>由</w:t>
      </w:r>
      <w:r>
        <w:rPr>
          <w:rFonts w:hint="eastAsia" w:ascii="仿宋" w:hAnsi="仿宋" w:eastAsia="仿宋" w:cs="仿宋"/>
          <w:sz w:val="32"/>
          <w:szCs w:val="32"/>
          <w:lang w:val="en-US" w:eastAsia="zh-CN"/>
        </w:rPr>
        <w:t>上述两个委托项目的中标人</w:t>
      </w:r>
      <w:r>
        <w:rPr>
          <w:rFonts w:hint="eastAsia" w:ascii="仿宋" w:hAnsi="仿宋" w:eastAsia="仿宋" w:cs="仿宋"/>
          <w:sz w:val="32"/>
          <w:szCs w:val="32"/>
        </w:rPr>
        <w:t>向</w:t>
      </w:r>
      <w:r>
        <w:rPr>
          <w:rFonts w:hint="eastAsia" w:ascii="仿宋" w:hAnsi="仿宋" w:eastAsia="仿宋" w:cs="仿宋"/>
          <w:sz w:val="32"/>
          <w:szCs w:val="32"/>
          <w:lang w:val="en-US" w:eastAsia="zh-CN"/>
        </w:rPr>
        <w:t>中选</w:t>
      </w:r>
      <w:r>
        <w:rPr>
          <w:rFonts w:hint="eastAsia" w:ascii="仿宋" w:hAnsi="仿宋" w:eastAsia="仿宋" w:cs="仿宋"/>
          <w:sz w:val="32"/>
          <w:szCs w:val="32"/>
        </w:rPr>
        <w:t>招标代理机构支付</w:t>
      </w:r>
      <w:r>
        <w:rPr>
          <w:rFonts w:hint="eastAsia" w:ascii="仿宋" w:hAnsi="仿宋" w:eastAsia="仿宋" w:cs="仿宋"/>
          <w:sz w:val="32"/>
          <w:szCs w:val="32"/>
          <w:lang w:val="en-US" w:eastAsia="zh-CN"/>
        </w:rPr>
        <w:t>相关</w:t>
      </w:r>
      <w:r>
        <w:rPr>
          <w:rFonts w:hint="eastAsia" w:ascii="仿宋" w:hAnsi="仿宋" w:eastAsia="仿宋" w:cs="仿宋"/>
          <w:sz w:val="32"/>
          <w:szCs w:val="32"/>
        </w:rPr>
        <w:t>服务费用。</w:t>
      </w:r>
    </w:p>
    <w:p w14:paraId="7FDC0DFD">
      <w:pPr>
        <w:spacing w:line="600" w:lineRule="exact"/>
        <w:ind w:firstLine="640" w:firstLineChars="200"/>
        <w:jc w:val="left"/>
        <w:rPr>
          <w:rFonts w:ascii="仿宋" w:hAnsi="仿宋" w:eastAsia="仿宋" w:cs="仿宋"/>
          <w:sz w:val="32"/>
          <w:szCs w:val="32"/>
          <w:highlight w:val="yellow"/>
        </w:rPr>
      </w:pPr>
      <w:r>
        <w:rPr>
          <w:rFonts w:hint="eastAsia" w:ascii="仿宋" w:hAnsi="仿宋" w:eastAsia="仿宋" w:cs="仿宋"/>
          <w:sz w:val="32"/>
          <w:szCs w:val="32"/>
        </w:rPr>
        <w:t>（四）招标代理协议有效期：自协议签订生效后至“数字江门网络建设有限公司信用模型建设项目”、“数字江门网络建设有限公司《个体工商户信用信息应用指南》编制服务项目”</w:t>
      </w:r>
      <w:r>
        <w:rPr>
          <w:rFonts w:hint="eastAsia" w:ascii="仿宋" w:hAnsi="仿宋" w:eastAsia="仿宋" w:cs="仿宋"/>
          <w:sz w:val="32"/>
          <w:szCs w:val="32"/>
          <w:lang w:val="en-US" w:eastAsia="zh-CN"/>
        </w:rPr>
        <w:t>项目招采服务完成之日</w:t>
      </w:r>
      <w:r>
        <w:rPr>
          <w:rFonts w:hint="eastAsia" w:ascii="仿宋" w:hAnsi="仿宋" w:eastAsia="仿宋" w:cs="仿宋"/>
          <w:sz w:val="32"/>
          <w:szCs w:val="32"/>
        </w:rPr>
        <w:t>止。</w:t>
      </w:r>
    </w:p>
    <w:p w14:paraId="37EFADF4">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（五）招标代理机构数量：通过</w:t>
      </w:r>
      <w:r>
        <w:rPr>
          <w:rFonts w:hint="eastAsia" w:ascii="仿宋" w:hAnsi="仿宋" w:eastAsia="仿宋" w:cs="仿宋"/>
          <w:sz w:val="32"/>
          <w:szCs w:val="32"/>
          <w:lang w:eastAsia="zh-CN"/>
        </w:rPr>
        <w:t>询比</w:t>
      </w:r>
      <w:r>
        <w:rPr>
          <w:rFonts w:hint="eastAsia" w:ascii="仿宋" w:hAnsi="仿宋" w:eastAsia="仿宋" w:cs="仿宋"/>
          <w:sz w:val="32"/>
          <w:szCs w:val="32"/>
        </w:rPr>
        <w:t>方式确定</w:t>
      </w:r>
      <w:r>
        <w:rPr>
          <w:rFonts w:hint="eastAsia" w:ascii="仿宋" w:hAnsi="仿宋" w:eastAsia="仿宋" w:cs="仿宋"/>
          <w:sz w:val="32"/>
          <w:szCs w:val="32"/>
          <w:lang w:val="en-US" w:eastAsia="zh-CN"/>
        </w:rPr>
        <w:t>1家中选</w:t>
      </w:r>
      <w:r>
        <w:rPr>
          <w:rFonts w:hint="eastAsia" w:ascii="仿宋" w:hAnsi="仿宋" w:eastAsia="仿宋" w:cs="仿宋"/>
          <w:sz w:val="32"/>
          <w:szCs w:val="32"/>
        </w:rPr>
        <w:t>招标代理机构。</w:t>
      </w:r>
    </w:p>
    <w:p w14:paraId="3E75B885">
      <w:pPr>
        <w:widowControl/>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二、招标代理机构资质要求</w:t>
      </w:r>
    </w:p>
    <w:p w14:paraId="50C123A9">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数字江门网络建设有限公司信用模型建设项目”、“数字江门网络建设有限公司《个体工商户信用信息应用指南》编制服务项目”代理服务，按</w:t>
      </w:r>
      <w:r>
        <w:rPr>
          <w:rFonts w:hint="eastAsia" w:ascii="仿宋" w:hAnsi="仿宋" w:eastAsia="仿宋" w:cs="仿宋"/>
          <w:sz w:val="32"/>
          <w:szCs w:val="32"/>
          <w:lang w:val="en-US" w:eastAsia="zh-CN"/>
        </w:rPr>
        <w:t>项目固定标准收取采购代理服务费金额</w:t>
      </w:r>
      <w:r>
        <w:rPr>
          <w:rFonts w:hint="eastAsia" w:ascii="仿宋" w:hAnsi="仿宋" w:eastAsia="仿宋" w:cs="仿宋"/>
          <w:sz w:val="32"/>
          <w:szCs w:val="32"/>
        </w:rPr>
        <w:t>。本项目报价应为人民币含税全包价（包括但不限于人工费、材料费、场地费、交通费、报告出版费、税金等范围内全部工作内容、服务承诺及不可预见风险等费用）。</w:t>
      </w:r>
    </w:p>
    <w:p w14:paraId="0DDD038B">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（二）资质要求：</w:t>
      </w:r>
    </w:p>
    <w:p w14:paraId="30D44A3F">
      <w:pPr>
        <w:spacing w:line="600" w:lineRule="exact"/>
        <w:ind w:firstLine="640" w:firstLineChars="20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1.</w:t>
      </w:r>
      <w:r>
        <w:rPr>
          <w:rFonts w:hint="eastAsia" w:ascii="仿宋" w:hAnsi="仿宋" w:eastAsia="仿宋" w:cs="仿宋"/>
          <w:kern w:val="2"/>
          <w:sz w:val="32"/>
          <w:szCs w:val="32"/>
        </w:rPr>
        <w:t>提供在中华人民共和国境内注册的法人或其他组织的营业执照或事业单位法人证书或社会团体法人登记证书复印件，如国家另有规定的，则从其规定；（如</w:t>
      </w:r>
      <w:r>
        <w:rPr>
          <w:rFonts w:hint="eastAsia" w:ascii="仿宋" w:hAnsi="仿宋" w:eastAsia="仿宋" w:cs="仿宋"/>
          <w:kern w:val="2"/>
          <w:sz w:val="32"/>
          <w:szCs w:val="32"/>
          <w:lang w:eastAsia="zh-CN"/>
        </w:rPr>
        <w:t>响应人</w:t>
      </w:r>
      <w:r>
        <w:rPr>
          <w:rFonts w:hint="eastAsia" w:ascii="仿宋" w:hAnsi="仿宋" w:eastAsia="仿宋" w:cs="仿宋"/>
          <w:kern w:val="2"/>
          <w:sz w:val="32"/>
          <w:szCs w:val="32"/>
        </w:rPr>
        <w:t>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7B878AE3">
      <w:pPr>
        <w:spacing w:line="600" w:lineRule="exact"/>
        <w:ind w:firstLine="640" w:firstLineChars="200"/>
        <w:jc w:val="left"/>
        <w:rPr>
          <w:rFonts w:hint="eastAsia" w:ascii="仿宋" w:hAnsi="仿宋" w:eastAsia="仿宋" w:cs="仿宋"/>
          <w:kern w:val="2"/>
          <w:sz w:val="32"/>
          <w:szCs w:val="32"/>
        </w:rPr>
      </w:pPr>
      <w:r>
        <w:rPr>
          <w:rFonts w:hint="eastAsia" w:ascii="仿宋" w:hAnsi="仿宋" w:eastAsia="仿宋" w:cs="仿宋"/>
          <w:kern w:val="2"/>
          <w:sz w:val="32"/>
          <w:szCs w:val="32"/>
        </w:rPr>
        <w:t>2.响应</w:t>
      </w:r>
      <w:r>
        <w:rPr>
          <w:rFonts w:hint="eastAsia" w:ascii="仿宋" w:hAnsi="仿宋" w:eastAsia="仿宋" w:cs="仿宋"/>
          <w:kern w:val="2"/>
          <w:sz w:val="32"/>
          <w:szCs w:val="32"/>
          <w:lang w:val="en-US" w:eastAsia="zh-CN"/>
        </w:rPr>
        <w:t>人</w:t>
      </w:r>
      <w:r>
        <w:rPr>
          <w:rFonts w:hint="eastAsia" w:ascii="仿宋" w:hAnsi="仿宋" w:eastAsia="仿宋" w:cs="仿宋"/>
          <w:kern w:val="2"/>
          <w:sz w:val="32"/>
          <w:szCs w:val="32"/>
        </w:rPr>
        <w:t>应符合《中华人民共和国政府采购法》第二十二条规定：（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w:t>
      </w:r>
      <w:r>
        <w:rPr>
          <w:rFonts w:hint="eastAsia" w:ascii="仿宋" w:hAnsi="仿宋" w:eastAsia="仿宋" w:cs="仿宋"/>
          <w:kern w:val="2"/>
          <w:sz w:val="32"/>
          <w:szCs w:val="32"/>
          <w:lang w:eastAsia="zh-CN"/>
        </w:rPr>
        <w:t>响应人</w:t>
      </w:r>
      <w:r>
        <w:rPr>
          <w:rFonts w:hint="eastAsia" w:ascii="仿宋" w:hAnsi="仿宋" w:eastAsia="仿宋" w:cs="仿宋"/>
          <w:kern w:val="2"/>
          <w:sz w:val="32"/>
          <w:szCs w:val="32"/>
        </w:rPr>
        <w:t>应有固定的经营场所，售后维护服务好。</w:t>
      </w:r>
    </w:p>
    <w:p w14:paraId="427FAE7A">
      <w:pPr>
        <w:spacing w:line="600" w:lineRule="exact"/>
        <w:ind w:firstLine="640" w:firstLineChars="200"/>
        <w:jc w:val="left"/>
        <w:rPr>
          <w:rFonts w:hint="eastAsia" w:ascii="仿宋" w:hAnsi="仿宋" w:eastAsia="仿宋" w:cs="仿宋"/>
          <w:kern w:val="2"/>
          <w:sz w:val="32"/>
          <w:szCs w:val="32"/>
        </w:rPr>
      </w:pPr>
      <w:r>
        <w:rPr>
          <w:rFonts w:hint="eastAsia" w:ascii="仿宋" w:hAnsi="仿宋" w:eastAsia="仿宋" w:cs="仿宋"/>
          <w:kern w:val="2"/>
          <w:sz w:val="32"/>
          <w:szCs w:val="32"/>
        </w:rPr>
        <w:t>3.响应</w:t>
      </w:r>
      <w:r>
        <w:rPr>
          <w:rFonts w:hint="eastAsia" w:ascii="仿宋" w:hAnsi="仿宋" w:eastAsia="仿宋" w:cs="仿宋"/>
          <w:kern w:val="2"/>
          <w:sz w:val="32"/>
          <w:szCs w:val="32"/>
          <w:lang w:val="en-US" w:eastAsia="zh-CN"/>
        </w:rPr>
        <w:t>人</w:t>
      </w:r>
      <w:r>
        <w:rPr>
          <w:rFonts w:hint="eastAsia" w:ascii="仿宋" w:hAnsi="仿宋" w:eastAsia="仿宋" w:cs="仿宋"/>
          <w:kern w:val="2"/>
          <w:sz w:val="32"/>
          <w:szCs w:val="32"/>
        </w:rPr>
        <w:t>应在中国政府采购网</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http://www.ccgp.gov.cn)和广东省政府采购网</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https://gdgpo.czt.gd.gov.cn)分别完成政府采购代理机构的网上登记备案（提供备案截图</w:t>
      </w:r>
      <w:r>
        <w:rPr>
          <w:rFonts w:hint="eastAsia" w:ascii="仿宋" w:hAnsi="仿宋" w:eastAsia="仿宋" w:cs="仿宋"/>
          <w:kern w:val="2"/>
          <w:sz w:val="32"/>
          <w:szCs w:val="32"/>
          <w:lang w:val="en-US" w:eastAsia="zh-CN"/>
        </w:rPr>
        <w:t>并加盖公章</w:t>
      </w:r>
      <w:r>
        <w:rPr>
          <w:rFonts w:hint="eastAsia" w:ascii="仿宋" w:hAnsi="仿宋" w:eastAsia="仿宋" w:cs="仿宋"/>
          <w:kern w:val="2"/>
          <w:sz w:val="32"/>
          <w:szCs w:val="32"/>
        </w:rPr>
        <w:t>）。</w:t>
      </w:r>
    </w:p>
    <w:p w14:paraId="533527F3">
      <w:pPr>
        <w:spacing w:line="600" w:lineRule="exact"/>
        <w:ind w:firstLine="640" w:firstLineChars="200"/>
        <w:jc w:val="left"/>
        <w:rPr>
          <w:rFonts w:hint="eastAsia" w:ascii="仿宋" w:hAnsi="仿宋" w:eastAsia="仿宋" w:cs="仿宋"/>
          <w:kern w:val="2"/>
          <w:sz w:val="32"/>
          <w:szCs w:val="32"/>
        </w:rPr>
      </w:pPr>
      <w:r>
        <w:rPr>
          <w:rFonts w:hint="eastAsia" w:ascii="仿宋" w:hAnsi="仿宋" w:eastAsia="仿宋" w:cs="仿宋"/>
          <w:kern w:val="2"/>
          <w:sz w:val="32"/>
          <w:szCs w:val="32"/>
        </w:rPr>
        <w:t>（二）其他要求：项目不允许联合体参加，不允许失信被执行人参加；响应</w:t>
      </w:r>
      <w:r>
        <w:rPr>
          <w:rFonts w:hint="eastAsia" w:ascii="仿宋" w:hAnsi="仿宋" w:eastAsia="仿宋" w:cs="仿宋"/>
          <w:kern w:val="2"/>
          <w:sz w:val="32"/>
          <w:szCs w:val="32"/>
          <w:lang w:val="en-US" w:eastAsia="zh-CN"/>
        </w:rPr>
        <w:t>人</w:t>
      </w:r>
      <w:r>
        <w:rPr>
          <w:rFonts w:hint="eastAsia" w:ascii="仿宋" w:hAnsi="仿宋" w:eastAsia="仿宋" w:cs="仿宋"/>
          <w:kern w:val="2"/>
          <w:sz w:val="32"/>
          <w:szCs w:val="32"/>
        </w:rPr>
        <w:t>应有固定的经营场所；成</w:t>
      </w:r>
      <w:r>
        <w:rPr>
          <w:rFonts w:hint="eastAsia" w:ascii="仿宋" w:hAnsi="仿宋" w:eastAsia="仿宋" w:cs="仿宋"/>
          <w:kern w:val="2"/>
          <w:sz w:val="32"/>
          <w:szCs w:val="32"/>
          <w:lang w:val="en-US" w:eastAsia="zh-CN"/>
        </w:rPr>
        <w:t>交</w:t>
      </w:r>
      <w:r>
        <w:rPr>
          <w:rFonts w:hint="eastAsia" w:ascii="仿宋" w:hAnsi="仿宋" w:eastAsia="仿宋" w:cs="仿宋"/>
          <w:kern w:val="2"/>
          <w:sz w:val="32"/>
          <w:szCs w:val="32"/>
        </w:rPr>
        <w:t>后不得分包或转包；存在隶属关系或同属一母公司或法人的企业，仅能由一家企业参加。</w:t>
      </w:r>
    </w:p>
    <w:p w14:paraId="0BFB6F55">
      <w:pPr>
        <w:spacing w:line="600" w:lineRule="exact"/>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报价</w:t>
      </w:r>
      <w:r>
        <w:rPr>
          <w:rFonts w:hint="eastAsia" w:ascii="仿宋" w:hAnsi="仿宋" w:eastAsia="仿宋" w:cs="仿宋"/>
          <w:b/>
          <w:bCs/>
          <w:sz w:val="32"/>
          <w:szCs w:val="32"/>
          <w:lang w:val="en-US" w:eastAsia="zh-CN"/>
        </w:rPr>
        <w:t>要求</w:t>
      </w:r>
    </w:p>
    <w:p w14:paraId="776513CC">
      <w:pPr>
        <w:pStyle w:val="3"/>
        <w:ind w:firstLine="64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（一）“数字江门网络建设有限公司信用模型建设项目”采购代理服务费最高限价人民币5000元整；</w:t>
      </w:r>
    </w:p>
    <w:p w14:paraId="220FC55F">
      <w:pPr>
        <w:pStyle w:val="3"/>
        <w:ind w:firstLine="64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（二）“数字江门网络建设有限公司《个体工商户信用信息应用指南》编制服务项目”采购代理服务费最高限价人民币6000元整；</w:t>
      </w:r>
    </w:p>
    <w:p w14:paraId="1576E316">
      <w:pPr>
        <w:ind w:firstLine="640"/>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（三）在两个代理项目的最高限价基础上，以折扣率（%）形式作出一次不可更改的报价。</w:t>
      </w:r>
    </w:p>
    <w:p w14:paraId="08A15138">
      <w:pPr>
        <w:spacing w:line="600" w:lineRule="exact"/>
        <w:ind w:firstLine="643" w:firstLineChars="200"/>
        <w:jc w:val="left"/>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、评审原则、步骤</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评分标准</w:t>
      </w:r>
    </w:p>
    <w:p w14:paraId="07698CBC">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（一）评审原则：从符合资格的招标代理机构之中按所</w:t>
      </w:r>
      <w:r>
        <w:rPr>
          <w:rFonts w:hint="eastAsia" w:ascii="仿宋" w:hAnsi="仿宋" w:eastAsia="仿宋" w:cs="仿宋"/>
          <w:sz w:val="32"/>
          <w:szCs w:val="32"/>
          <w:lang w:val="en-US" w:eastAsia="zh-CN"/>
        </w:rPr>
        <w:t>评审得分</w:t>
      </w:r>
      <w:r>
        <w:rPr>
          <w:rFonts w:hint="eastAsia" w:ascii="仿宋" w:hAnsi="仿宋" w:eastAsia="仿宋" w:cs="仿宋"/>
          <w:sz w:val="32"/>
          <w:szCs w:val="32"/>
        </w:rPr>
        <w:t>从</w:t>
      </w:r>
      <w:r>
        <w:rPr>
          <w:rFonts w:hint="eastAsia" w:ascii="仿宋" w:hAnsi="仿宋" w:eastAsia="仿宋" w:cs="仿宋"/>
          <w:sz w:val="32"/>
          <w:szCs w:val="32"/>
          <w:lang w:val="en-US" w:eastAsia="zh-CN"/>
        </w:rPr>
        <w:t>高</w:t>
      </w:r>
      <w:r>
        <w:rPr>
          <w:rFonts w:hint="eastAsia" w:ascii="仿宋" w:hAnsi="仿宋" w:eastAsia="仿宋" w:cs="仿宋"/>
          <w:sz w:val="32"/>
          <w:szCs w:val="32"/>
        </w:rPr>
        <w:t>至</w:t>
      </w:r>
      <w:r>
        <w:rPr>
          <w:rFonts w:hint="eastAsia" w:ascii="仿宋" w:hAnsi="仿宋" w:eastAsia="仿宋" w:cs="仿宋"/>
          <w:sz w:val="32"/>
          <w:szCs w:val="32"/>
          <w:lang w:val="en-US" w:eastAsia="zh-CN"/>
        </w:rPr>
        <w:t>低</w:t>
      </w:r>
      <w:r>
        <w:rPr>
          <w:rFonts w:hint="eastAsia" w:ascii="仿宋" w:hAnsi="仿宋" w:eastAsia="仿宋" w:cs="仿宋"/>
          <w:sz w:val="32"/>
          <w:szCs w:val="32"/>
        </w:rPr>
        <w:t>排序，确定</w:t>
      </w:r>
      <w:r>
        <w:rPr>
          <w:rFonts w:hint="eastAsia" w:ascii="仿宋" w:hAnsi="仿宋" w:eastAsia="仿宋" w:cs="仿宋"/>
          <w:sz w:val="32"/>
          <w:szCs w:val="32"/>
          <w:lang w:eastAsia="zh-CN"/>
        </w:rPr>
        <w:t>中选招标代理机构</w:t>
      </w:r>
      <w:r>
        <w:rPr>
          <w:rFonts w:hint="eastAsia" w:ascii="仿宋" w:hAnsi="仿宋" w:eastAsia="仿宋" w:cs="仿宋"/>
          <w:sz w:val="32"/>
          <w:szCs w:val="32"/>
        </w:rPr>
        <w:t>候选名单。</w:t>
      </w:r>
    </w:p>
    <w:p w14:paraId="3F916AFC">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（二）评审步骤：对</w:t>
      </w:r>
      <w:r>
        <w:rPr>
          <w:rFonts w:hint="eastAsia" w:ascii="仿宋" w:hAnsi="仿宋" w:eastAsia="仿宋" w:cs="仿宋"/>
          <w:sz w:val="32"/>
          <w:szCs w:val="32"/>
          <w:lang w:eastAsia="zh-CN"/>
        </w:rPr>
        <w:t>响应文件</w:t>
      </w:r>
      <w:r>
        <w:rPr>
          <w:rFonts w:hint="eastAsia" w:ascii="仿宋" w:hAnsi="仿宋" w:eastAsia="仿宋" w:cs="仿宋"/>
          <w:sz w:val="32"/>
          <w:szCs w:val="32"/>
        </w:rPr>
        <w:t>的评审分为</w:t>
      </w:r>
      <w:r>
        <w:rPr>
          <w:rFonts w:hint="eastAsia" w:ascii="仿宋" w:hAnsi="仿宋" w:eastAsia="仿宋" w:cs="仿宋"/>
          <w:sz w:val="32"/>
          <w:szCs w:val="32"/>
          <w:lang w:val="en-US" w:eastAsia="zh-CN"/>
        </w:rPr>
        <w:t>资格审查</w:t>
      </w:r>
      <w:r>
        <w:rPr>
          <w:rFonts w:hint="eastAsia" w:ascii="仿宋" w:hAnsi="仿宋" w:eastAsia="仿宋" w:cs="仿宋"/>
          <w:sz w:val="32"/>
          <w:szCs w:val="32"/>
        </w:rPr>
        <w:t>、</w:t>
      </w:r>
      <w:r>
        <w:rPr>
          <w:rFonts w:hint="eastAsia" w:ascii="仿宋" w:hAnsi="仿宋" w:eastAsia="仿宋" w:cs="仿宋"/>
          <w:sz w:val="32"/>
          <w:szCs w:val="32"/>
          <w:lang w:val="en-US" w:eastAsia="zh-CN"/>
        </w:rPr>
        <w:t>综合评分</w:t>
      </w:r>
      <w:r>
        <w:rPr>
          <w:rFonts w:hint="eastAsia" w:ascii="仿宋" w:hAnsi="仿宋" w:eastAsia="仿宋" w:cs="仿宋"/>
          <w:sz w:val="32"/>
          <w:szCs w:val="32"/>
        </w:rPr>
        <w:t>、确定</w:t>
      </w:r>
      <w:r>
        <w:rPr>
          <w:rFonts w:hint="eastAsia" w:ascii="仿宋" w:hAnsi="仿宋" w:eastAsia="仿宋" w:cs="仿宋"/>
          <w:sz w:val="32"/>
          <w:szCs w:val="32"/>
          <w:lang w:eastAsia="zh-CN"/>
        </w:rPr>
        <w:t>中选招标代理机构</w:t>
      </w:r>
      <w:r>
        <w:rPr>
          <w:rFonts w:hint="eastAsia" w:ascii="仿宋" w:hAnsi="仿宋" w:eastAsia="仿宋" w:cs="仿宋"/>
          <w:sz w:val="32"/>
          <w:szCs w:val="32"/>
        </w:rPr>
        <w:t>。</w:t>
      </w:r>
    </w:p>
    <w:p w14:paraId="0C725EE0">
      <w:pPr>
        <w:shd w:val="clear" w:color="auto" w:fill="auto"/>
        <w:spacing w:line="60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sz w:val="32"/>
          <w:szCs w:val="32"/>
          <w:lang w:eastAsia="zh-CN"/>
        </w:rPr>
        <w:t>1.</w:t>
      </w:r>
      <w:r>
        <w:rPr>
          <w:rFonts w:hint="eastAsia" w:ascii="仿宋" w:hAnsi="仿宋" w:eastAsia="仿宋" w:cs="仿宋"/>
          <w:sz w:val="32"/>
          <w:szCs w:val="32"/>
        </w:rPr>
        <w:t>初审：</w:t>
      </w:r>
      <w:r>
        <w:rPr>
          <w:rFonts w:hint="eastAsia" w:ascii="仿宋" w:hAnsi="仿宋" w:eastAsia="仿宋" w:cs="仿宋"/>
          <w:bCs/>
          <w:sz w:val="32"/>
          <w:szCs w:val="32"/>
        </w:rPr>
        <w:t>符合性审查。将会依法</w:t>
      </w:r>
      <w:r>
        <w:rPr>
          <w:rFonts w:hint="eastAsia" w:ascii="仿宋" w:hAnsi="仿宋" w:eastAsia="仿宋" w:cs="仿宋"/>
          <w:bCs/>
          <w:sz w:val="32"/>
          <w:szCs w:val="32"/>
          <w:highlight w:val="none"/>
        </w:rPr>
        <w:t>审查</w:t>
      </w:r>
      <w:r>
        <w:rPr>
          <w:rFonts w:hint="eastAsia" w:ascii="仿宋" w:hAnsi="仿宋" w:eastAsia="仿宋" w:cs="仿宋"/>
          <w:bCs/>
          <w:sz w:val="32"/>
          <w:szCs w:val="32"/>
          <w:highlight w:val="none"/>
          <w:lang w:eastAsia="zh-CN"/>
        </w:rPr>
        <w:t>响应文件</w:t>
      </w:r>
      <w:r>
        <w:rPr>
          <w:rFonts w:hint="eastAsia" w:ascii="仿宋" w:hAnsi="仿宋" w:eastAsia="仿宋" w:cs="仿宋"/>
          <w:bCs/>
          <w:sz w:val="32"/>
          <w:szCs w:val="32"/>
          <w:highlight w:val="none"/>
        </w:rPr>
        <w:t>是否实质上响应了采购要求。只有符合实质性响应的文件才能进行后续的价格比较，否则将作无效响应处理。</w:t>
      </w:r>
      <w:r>
        <w:rPr>
          <w:rFonts w:hint="eastAsia" w:ascii="仿宋" w:hAnsi="仿宋" w:eastAsia="仿宋" w:cs="仿宋"/>
          <w:b w:val="0"/>
          <w:bCs/>
          <w:sz w:val="32"/>
          <w:szCs w:val="32"/>
          <w:highlight w:val="none"/>
        </w:rPr>
        <w:t>如有效报价不足3家单位，只有2家单位有效，则根据评审委员会根据响应文件认定2家单位是否有足够竞争性，如有采购继续，否则项目采购失败。</w:t>
      </w:r>
    </w:p>
    <w:p w14:paraId="6847AC41">
      <w:pPr>
        <w:shd w:val="clear" w:color="auto" w:fill="auto"/>
        <w:spacing w:line="6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2.</w:t>
      </w:r>
      <w:r>
        <w:rPr>
          <w:rFonts w:hint="eastAsia" w:ascii="仿宋" w:hAnsi="仿宋" w:eastAsia="仿宋" w:cs="仿宋"/>
          <w:sz w:val="32"/>
          <w:szCs w:val="32"/>
          <w:highlight w:val="none"/>
          <w:lang w:val="en-US" w:eastAsia="zh-CN"/>
        </w:rPr>
        <w:t>综</w:t>
      </w:r>
      <w:r>
        <w:rPr>
          <w:rFonts w:hint="eastAsia" w:ascii="仿宋" w:hAnsi="仿宋" w:eastAsia="仿宋" w:cs="仿宋"/>
          <w:sz w:val="32"/>
          <w:szCs w:val="32"/>
          <w:highlight w:val="none"/>
        </w:rPr>
        <w:t>合评分：采购人从符合资格的招标代理机构之中</w:t>
      </w:r>
      <w:r>
        <w:rPr>
          <w:rFonts w:hint="eastAsia" w:ascii="仿宋" w:hAnsi="仿宋" w:eastAsia="仿宋" w:cs="仿宋"/>
          <w:sz w:val="32"/>
          <w:szCs w:val="32"/>
          <w:highlight w:val="none"/>
          <w:lang w:val="en-US" w:eastAsia="zh-CN"/>
        </w:rPr>
        <w:t>开展综合评分</w:t>
      </w:r>
      <w:r>
        <w:rPr>
          <w:rFonts w:hint="eastAsia" w:ascii="仿宋" w:hAnsi="仿宋" w:eastAsia="仿宋" w:cs="仿宋"/>
          <w:sz w:val="32"/>
          <w:szCs w:val="32"/>
          <w:highlight w:val="none"/>
        </w:rPr>
        <w:t>，确定</w:t>
      </w:r>
      <w:r>
        <w:rPr>
          <w:rFonts w:hint="eastAsia" w:ascii="仿宋" w:hAnsi="仿宋" w:eastAsia="仿宋" w:cs="仿宋"/>
          <w:sz w:val="32"/>
          <w:szCs w:val="32"/>
          <w:highlight w:val="none"/>
          <w:lang w:eastAsia="zh-CN"/>
        </w:rPr>
        <w:t>中选招标代理机构</w:t>
      </w:r>
      <w:r>
        <w:rPr>
          <w:rFonts w:hint="eastAsia" w:ascii="仿宋" w:hAnsi="仿宋" w:eastAsia="仿宋" w:cs="仿宋"/>
          <w:sz w:val="32"/>
          <w:szCs w:val="32"/>
          <w:highlight w:val="none"/>
        </w:rPr>
        <w:t>候选名单。</w:t>
      </w:r>
    </w:p>
    <w:p w14:paraId="1DA0F477">
      <w:pPr>
        <w:shd w:val="clear" w:color="auto" w:fill="auto"/>
        <w:spacing w:line="600"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3.</w:t>
      </w:r>
      <w:r>
        <w:rPr>
          <w:rFonts w:hint="eastAsia" w:ascii="仿宋" w:hAnsi="仿宋" w:eastAsia="仿宋" w:cs="仿宋"/>
          <w:sz w:val="32"/>
          <w:szCs w:val="32"/>
          <w:highlight w:val="none"/>
        </w:rPr>
        <w:t>确定</w:t>
      </w:r>
      <w:r>
        <w:rPr>
          <w:rFonts w:hint="eastAsia" w:ascii="仿宋" w:hAnsi="仿宋" w:eastAsia="仿宋" w:cs="仿宋"/>
          <w:sz w:val="32"/>
          <w:szCs w:val="32"/>
          <w:highlight w:val="none"/>
          <w:lang w:eastAsia="zh-CN"/>
        </w:rPr>
        <w:t>中选招标代理机构</w:t>
      </w:r>
      <w:r>
        <w:rPr>
          <w:rFonts w:hint="eastAsia" w:ascii="仿宋" w:hAnsi="仿宋" w:eastAsia="仿宋" w:cs="仿宋"/>
          <w:sz w:val="32"/>
          <w:szCs w:val="32"/>
          <w:highlight w:val="none"/>
        </w:rPr>
        <w:t>：采购人根据最终评审的结果，选取</w:t>
      </w:r>
      <w:r>
        <w:rPr>
          <w:rFonts w:hint="eastAsia" w:ascii="仿宋" w:hAnsi="仿宋" w:eastAsia="仿宋" w:cs="仿宋"/>
          <w:sz w:val="32"/>
          <w:szCs w:val="32"/>
          <w:highlight w:val="none"/>
          <w:lang w:val="en-US" w:eastAsia="zh-CN"/>
        </w:rPr>
        <w:t>得分</w:t>
      </w:r>
      <w:r>
        <w:rPr>
          <w:rFonts w:hint="eastAsia" w:ascii="仿宋" w:hAnsi="仿宋" w:eastAsia="仿宋" w:cs="仿宋"/>
          <w:sz w:val="32"/>
          <w:szCs w:val="32"/>
          <w:highlight w:val="none"/>
        </w:rPr>
        <w:t>第一名</w:t>
      </w:r>
      <w:r>
        <w:rPr>
          <w:rFonts w:hint="eastAsia" w:ascii="仿宋" w:hAnsi="仿宋" w:eastAsia="仿宋" w:cs="仿宋"/>
          <w:sz w:val="32"/>
          <w:szCs w:val="32"/>
          <w:highlight w:val="none"/>
          <w:lang w:val="en-US" w:eastAsia="zh-CN"/>
        </w:rPr>
        <w:t>的</w:t>
      </w:r>
      <w:r>
        <w:rPr>
          <w:rFonts w:hint="eastAsia" w:ascii="仿宋" w:hAnsi="仿宋" w:eastAsia="仿宋" w:cs="仿宋"/>
          <w:sz w:val="32"/>
          <w:szCs w:val="32"/>
          <w:highlight w:val="none"/>
        </w:rPr>
        <w:t>成交候选人作为</w:t>
      </w:r>
      <w:r>
        <w:rPr>
          <w:rFonts w:hint="eastAsia" w:ascii="仿宋" w:hAnsi="仿宋" w:eastAsia="仿宋" w:cs="仿宋"/>
          <w:sz w:val="32"/>
          <w:szCs w:val="32"/>
          <w:highlight w:val="none"/>
          <w:lang w:eastAsia="zh-CN"/>
        </w:rPr>
        <w:t>中选招标代理机构</w:t>
      </w:r>
      <w:r>
        <w:rPr>
          <w:rFonts w:hint="eastAsia" w:ascii="仿宋" w:hAnsi="仿宋" w:eastAsia="仿宋" w:cs="仿宋"/>
          <w:sz w:val="32"/>
          <w:szCs w:val="32"/>
          <w:highlight w:val="none"/>
        </w:rPr>
        <w:t>。</w:t>
      </w:r>
    </w:p>
    <w:p w14:paraId="05F84442">
      <w:pPr>
        <w:pStyle w:val="2"/>
        <w:ind w:firstLine="640"/>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（三）评分标准：</w:t>
      </w:r>
    </w:p>
    <w:p w14:paraId="02C4C119">
      <w:pPr>
        <w:widowControl/>
        <w:shd w:val="clear" w:color="auto" w:fill="auto"/>
        <w:spacing w:line="600" w:lineRule="exact"/>
        <w:ind w:firstLine="643" w:firstLineChars="200"/>
        <w:jc w:val="center"/>
        <w:rPr>
          <w:rFonts w:hint="eastAsia" w:ascii="仿宋" w:hAnsi="仿宋" w:eastAsia="仿宋" w:cs="仿宋"/>
          <w:b/>
          <w:bCs w:val="0"/>
          <w:color w:val="auto"/>
          <w:spacing w:val="0"/>
          <w:kern w:val="2"/>
          <w:sz w:val="32"/>
          <w:szCs w:val="32"/>
          <w:highlight w:val="none"/>
        </w:rPr>
      </w:pPr>
      <w:r>
        <w:rPr>
          <w:rFonts w:hint="eastAsia" w:ascii="仿宋" w:hAnsi="仿宋" w:eastAsia="仿宋" w:cs="仿宋"/>
          <w:b/>
          <w:bCs w:val="0"/>
          <w:color w:val="auto"/>
          <w:spacing w:val="0"/>
          <w:kern w:val="2"/>
          <w:sz w:val="32"/>
          <w:szCs w:val="32"/>
          <w:highlight w:val="none"/>
        </w:rPr>
        <w:t>资格性</w:t>
      </w:r>
      <w:r>
        <w:rPr>
          <w:rFonts w:hint="eastAsia" w:ascii="仿宋" w:hAnsi="仿宋" w:eastAsia="仿宋" w:cs="仿宋"/>
          <w:b/>
          <w:bCs w:val="0"/>
          <w:color w:val="auto"/>
          <w:spacing w:val="0"/>
          <w:kern w:val="2"/>
          <w:sz w:val="32"/>
          <w:szCs w:val="32"/>
          <w:highlight w:val="none"/>
          <w:lang w:val="en-US" w:eastAsia="zh-CN"/>
        </w:rPr>
        <w:t>及符合性</w:t>
      </w:r>
      <w:r>
        <w:rPr>
          <w:rFonts w:hint="eastAsia" w:ascii="仿宋" w:hAnsi="仿宋" w:eastAsia="仿宋" w:cs="仿宋"/>
          <w:b/>
          <w:bCs w:val="0"/>
          <w:color w:val="auto"/>
          <w:spacing w:val="0"/>
          <w:kern w:val="2"/>
          <w:sz w:val="32"/>
          <w:szCs w:val="32"/>
          <w:highlight w:val="none"/>
        </w:rPr>
        <w:t>审查</w:t>
      </w:r>
    </w:p>
    <w:tbl>
      <w:tblPr>
        <w:tblStyle w:val="16"/>
        <w:tblW w:w="0" w:type="auto"/>
        <w:jc w:val="center"/>
        <w:tblLayout w:type="autofit"/>
        <w:tblCellMar>
          <w:top w:w="15" w:type="dxa"/>
          <w:left w:w="15" w:type="dxa"/>
          <w:bottom w:w="15" w:type="dxa"/>
          <w:right w:w="15" w:type="dxa"/>
        </w:tblCellMar>
      </w:tblPr>
      <w:tblGrid>
        <w:gridCol w:w="1704"/>
        <w:gridCol w:w="7110"/>
      </w:tblGrid>
      <w:tr w14:paraId="6EB66E8B">
        <w:tblPrEx>
          <w:tblCellMar>
            <w:top w:w="15" w:type="dxa"/>
            <w:left w:w="15" w:type="dxa"/>
            <w:bottom w:w="15" w:type="dxa"/>
            <w:right w:w="15" w:type="dxa"/>
          </w:tblCellMar>
        </w:tblPrEx>
        <w:trPr>
          <w:cantSplit/>
          <w:trHeight w:val="544" w:hRule="atLeast"/>
          <w:jc w:val="center"/>
        </w:trPr>
        <w:tc>
          <w:tcPr>
            <w:tcW w:w="1704" w:type="dxa"/>
            <w:vMerge w:val="restart"/>
            <w:tcBorders>
              <w:top w:val="single" w:color="000000" w:sz="4" w:space="0"/>
              <w:left w:val="single" w:color="000000" w:sz="4" w:space="0"/>
              <w:bottom w:val="single" w:color="000000" w:sz="4" w:space="0"/>
              <w:right w:val="single" w:color="000000" w:sz="4" w:space="0"/>
            </w:tcBorders>
            <w:vAlign w:val="center"/>
          </w:tcPr>
          <w:p w14:paraId="3E25A36C">
            <w:pPr>
              <w:widowControl/>
              <w:snapToGrid w:val="0"/>
              <w:jc w:val="center"/>
              <w:rPr>
                <w:rFonts w:hint="default" w:ascii="Times New Roman" w:hAnsi="Times New Roman" w:eastAsia="方正仿宋_GBK" w:cs="Times New Roman"/>
                <w:b/>
                <w:bCs/>
                <w:color w:val="000000"/>
                <w:sz w:val="24"/>
                <w:szCs w:val="24"/>
              </w:rPr>
            </w:pPr>
            <w:r>
              <w:rPr>
                <w:rFonts w:hint="default" w:ascii="Times New Roman" w:hAnsi="Times New Roman" w:eastAsia="方正仿宋_GBK" w:cs="Times New Roman"/>
                <w:b/>
                <w:bCs/>
                <w:color w:val="000000"/>
                <w:sz w:val="24"/>
                <w:szCs w:val="24"/>
              </w:rPr>
              <w:t>资格性及符合性项目</w:t>
            </w:r>
          </w:p>
        </w:tc>
        <w:tc>
          <w:tcPr>
            <w:tcW w:w="7110" w:type="dxa"/>
            <w:vMerge w:val="restart"/>
            <w:tcBorders>
              <w:top w:val="single" w:color="000000" w:sz="4" w:space="0"/>
              <w:left w:val="single" w:color="000000" w:sz="4" w:space="0"/>
              <w:bottom w:val="single" w:color="000000" w:sz="4" w:space="0"/>
              <w:right w:val="single" w:color="000000" w:sz="4" w:space="0"/>
            </w:tcBorders>
            <w:vAlign w:val="center"/>
          </w:tcPr>
          <w:p w14:paraId="7B91397F">
            <w:pPr>
              <w:widowControl/>
              <w:snapToGrid w:val="0"/>
              <w:jc w:val="center"/>
              <w:rPr>
                <w:rFonts w:hint="default" w:ascii="Times New Roman" w:hAnsi="Times New Roman" w:eastAsia="方正仿宋_GBK" w:cs="Times New Roman"/>
                <w:b/>
                <w:bCs/>
                <w:color w:val="000000"/>
                <w:sz w:val="24"/>
                <w:szCs w:val="24"/>
              </w:rPr>
            </w:pPr>
            <w:r>
              <w:rPr>
                <w:rFonts w:hint="default" w:ascii="Times New Roman" w:hAnsi="Times New Roman" w:eastAsia="方正仿宋_GBK" w:cs="Times New Roman"/>
                <w:b/>
                <w:bCs/>
                <w:color w:val="000000"/>
                <w:sz w:val="24"/>
                <w:szCs w:val="24"/>
              </w:rPr>
              <w:t>资格审查内容</w:t>
            </w:r>
          </w:p>
        </w:tc>
      </w:tr>
      <w:tr w14:paraId="0F175F36">
        <w:tblPrEx>
          <w:tblCellMar>
            <w:top w:w="15" w:type="dxa"/>
            <w:left w:w="15" w:type="dxa"/>
            <w:bottom w:w="15" w:type="dxa"/>
            <w:right w:w="15" w:type="dxa"/>
          </w:tblCellMar>
        </w:tblPrEx>
        <w:trPr>
          <w:cantSplit/>
          <w:trHeight w:val="563" w:hRule="atLeast"/>
          <w:jc w:val="center"/>
        </w:trPr>
        <w:tc>
          <w:tcPr>
            <w:tcW w:w="1704" w:type="dxa"/>
            <w:vMerge w:val="continue"/>
            <w:tcBorders>
              <w:top w:val="single" w:color="000000" w:sz="4" w:space="0"/>
              <w:left w:val="single" w:color="000000" w:sz="4" w:space="0"/>
              <w:bottom w:val="single" w:color="000000" w:sz="4" w:space="0"/>
              <w:right w:val="single" w:color="000000" w:sz="4" w:space="0"/>
            </w:tcBorders>
            <w:vAlign w:val="center"/>
          </w:tcPr>
          <w:p w14:paraId="5F2D9099">
            <w:pPr>
              <w:snapToGrid w:val="0"/>
              <w:jc w:val="center"/>
              <w:rPr>
                <w:rFonts w:hint="default" w:ascii="Times New Roman" w:hAnsi="Times New Roman" w:eastAsia="方正仿宋_GBK" w:cs="Times New Roman"/>
                <w:color w:val="000000"/>
                <w:sz w:val="24"/>
                <w:szCs w:val="24"/>
              </w:rPr>
            </w:pPr>
          </w:p>
        </w:tc>
        <w:tc>
          <w:tcPr>
            <w:tcW w:w="7110" w:type="dxa"/>
            <w:vMerge w:val="continue"/>
            <w:tcBorders>
              <w:top w:val="single" w:color="000000" w:sz="4" w:space="0"/>
              <w:left w:val="single" w:color="000000" w:sz="4" w:space="0"/>
              <w:bottom w:val="single" w:color="000000" w:sz="4" w:space="0"/>
              <w:right w:val="single" w:color="000000" w:sz="4" w:space="0"/>
            </w:tcBorders>
            <w:vAlign w:val="center"/>
          </w:tcPr>
          <w:p w14:paraId="0D623A85">
            <w:pPr>
              <w:snapToGrid w:val="0"/>
              <w:jc w:val="center"/>
              <w:rPr>
                <w:rFonts w:hint="default" w:ascii="Times New Roman" w:hAnsi="Times New Roman" w:eastAsia="方正仿宋_GBK" w:cs="Times New Roman"/>
                <w:color w:val="000000"/>
                <w:sz w:val="24"/>
                <w:szCs w:val="24"/>
              </w:rPr>
            </w:pPr>
          </w:p>
        </w:tc>
      </w:tr>
      <w:tr w14:paraId="45C9F8BE">
        <w:tblPrEx>
          <w:tblCellMar>
            <w:top w:w="15" w:type="dxa"/>
            <w:left w:w="15" w:type="dxa"/>
            <w:bottom w:w="15" w:type="dxa"/>
            <w:right w:w="15" w:type="dxa"/>
          </w:tblCellMar>
        </w:tblPrEx>
        <w:trPr>
          <w:trHeight w:val="1394" w:hRule="atLeast"/>
          <w:jc w:val="center"/>
        </w:trPr>
        <w:tc>
          <w:tcPr>
            <w:tcW w:w="1704" w:type="dxa"/>
            <w:tcBorders>
              <w:top w:val="single" w:color="000000" w:sz="4" w:space="0"/>
              <w:left w:val="single" w:color="000000" w:sz="4" w:space="0"/>
              <w:bottom w:val="single" w:color="000000" w:sz="4" w:space="0"/>
              <w:right w:val="single" w:color="000000" w:sz="4" w:space="0"/>
            </w:tcBorders>
            <w:vAlign w:val="center"/>
          </w:tcPr>
          <w:p w14:paraId="4A8183DD">
            <w:pPr>
              <w:widowControl/>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具有独立承担民事责任的能力</w:t>
            </w:r>
          </w:p>
        </w:tc>
        <w:tc>
          <w:tcPr>
            <w:tcW w:w="7110" w:type="dxa"/>
            <w:tcBorders>
              <w:top w:val="single" w:color="000000" w:sz="4" w:space="0"/>
              <w:left w:val="single" w:color="000000" w:sz="4" w:space="0"/>
              <w:bottom w:val="single" w:color="000000" w:sz="4" w:space="0"/>
              <w:right w:val="single" w:color="000000" w:sz="4" w:space="0"/>
            </w:tcBorders>
            <w:vAlign w:val="center"/>
          </w:tcPr>
          <w:p w14:paraId="07C89CC2">
            <w:pPr>
              <w:widowControl/>
              <w:snapToGrid w:val="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在中华人民共和国境内注册的法人或其他组织的营业执照或事业单位法人证书或社会团体法人登记证书复印件，如国家另有规定的，则从其规定。如</w:t>
            </w:r>
            <w:r>
              <w:rPr>
                <w:rFonts w:hint="default" w:ascii="Times New Roman" w:hAnsi="Times New Roman" w:eastAsia="方正仿宋_GBK" w:cs="Times New Roman"/>
                <w:color w:val="000000"/>
                <w:sz w:val="24"/>
                <w:szCs w:val="24"/>
                <w:lang w:eastAsia="zh-CN"/>
              </w:rPr>
              <w:t>响应</w:t>
            </w:r>
            <w:r>
              <w:rPr>
                <w:rFonts w:hint="eastAsia" w:ascii="Times New Roman" w:hAnsi="Times New Roman" w:eastAsia="方正仿宋_GBK" w:cs="Times New Roman"/>
                <w:color w:val="000000"/>
                <w:sz w:val="24"/>
                <w:szCs w:val="24"/>
                <w:lang w:val="en-US" w:eastAsia="zh-CN"/>
              </w:rPr>
              <w:t>人</w:t>
            </w:r>
            <w:r>
              <w:rPr>
                <w:rFonts w:hint="default" w:ascii="Times New Roman" w:hAnsi="Times New Roman" w:eastAsia="方正仿宋_GBK" w:cs="Times New Roman"/>
                <w:color w:val="000000"/>
                <w:sz w:val="24"/>
                <w:szCs w:val="24"/>
              </w:rPr>
              <w:t>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tc>
      </w:tr>
      <w:tr w14:paraId="0D032787">
        <w:tblPrEx>
          <w:tblCellMar>
            <w:top w:w="15" w:type="dxa"/>
            <w:left w:w="15" w:type="dxa"/>
            <w:bottom w:w="15" w:type="dxa"/>
            <w:right w:w="15" w:type="dxa"/>
          </w:tblCellMar>
        </w:tblPrEx>
        <w:trPr>
          <w:trHeight w:val="1394" w:hRule="atLeast"/>
          <w:jc w:val="center"/>
        </w:trPr>
        <w:tc>
          <w:tcPr>
            <w:tcW w:w="1704" w:type="dxa"/>
            <w:tcBorders>
              <w:top w:val="single" w:color="000000" w:sz="4" w:space="0"/>
              <w:left w:val="single" w:color="000000" w:sz="4" w:space="0"/>
              <w:bottom w:val="single" w:color="000000" w:sz="4" w:space="0"/>
              <w:right w:val="single" w:color="000000" w:sz="4" w:space="0"/>
            </w:tcBorders>
            <w:vAlign w:val="center"/>
          </w:tcPr>
          <w:p w14:paraId="0439E901">
            <w:pPr>
              <w:widowControl/>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符合《中华人民共和国政府采购法》第二十二条规定</w:t>
            </w:r>
          </w:p>
        </w:tc>
        <w:tc>
          <w:tcPr>
            <w:tcW w:w="7110" w:type="dxa"/>
            <w:tcBorders>
              <w:top w:val="single" w:color="000000" w:sz="4" w:space="0"/>
              <w:left w:val="single" w:color="000000" w:sz="4" w:space="0"/>
              <w:bottom w:val="single" w:color="000000" w:sz="4" w:space="0"/>
              <w:right w:val="single" w:color="000000" w:sz="4" w:space="0"/>
            </w:tcBorders>
            <w:vAlign w:val="center"/>
          </w:tcPr>
          <w:p w14:paraId="27B49BA9">
            <w:pPr>
              <w:widowControl/>
              <w:snapToGrid w:val="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提供响应</w:t>
            </w:r>
            <w:r>
              <w:rPr>
                <w:rFonts w:hint="default" w:ascii="Times New Roman" w:hAnsi="Times New Roman" w:eastAsia="方正仿宋_GBK" w:cs="Times New Roman"/>
                <w:color w:val="000000"/>
                <w:sz w:val="24"/>
                <w:szCs w:val="24"/>
                <w:lang w:val="en-US" w:eastAsia="zh-CN"/>
              </w:rPr>
              <w:t>承诺</w:t>
            </w:r>
            <w:r>
              <w:rPr>
                <w:rFonts w:hint="default" w:ascii="Times New Roman" w:hAnsi="Times New Roman" w:eastAsia="方正仿宋_GBK" w:cs="Times New Roman"/>
                <w:color w:val="000000"/>
                <w:sz w:val="24"/>
                <w:szCs w:val="24"/>
              </w:rPr>
              <w:t>函，格式</w:t>
            </w:r>
            <w:r>
              <w:rPr>
                <w:rFonts w:hint="default" w:ascii="Times New Roman" w:hAnsi="Times New Roman" w:eastAsia="方正仿宋_GBK" w:cs="Times New Roman"/>
                <w:color w:val="000000"/>
                <w:sz w:val="24"/>
                <w:szCs w:val="24"/>
                <w:lang w:val="en-US" w:eastAsia="zh-CN"/>
              </w:rPr>
              <w:t>自拟</w:t>
            </w:r>
            <w:r>
              <w:rPr>
                <w:rFonts w:hint="default" w:ascii="Times New Roman" w:hAnsi="Times New Roman" w:eastAsia="方正仿宋_GBK" w:cs="Times New Roman"/>
                <w:color w:val="000000"/>
                <w:sz w:val="24"/>
                <w:szCs w:val="24"/>
              </w:rPr>
              <w:t>。</w:t>
            </w:r>
          </w:p>
        </w:tc>
      </w:tr>
      <w:tr w14:paraId="6DF485EF">
        <w:tblPrEx>
          <w:tblCellMar>
            <w:top w:w="15" w:type="dxa"/>
            <w:left w:w="15" w:type="dxa"/>
            <w:bottom w:w="15" w:type="dxa"/>
            <w:right w:w="15" w:type="dxa"/>
          </w:tblCellMar>
        </w:tblPrEx>
        <w:trPr>
          <w:trHeight w:val="504" w:hRule="atLeast"/>
          <w:jc w:val="center"/>
        </w:trPr>
        <w:tc>
          <w:tcPr>
            <w:tcW w:w="1704" w:type="dxa"/>
            <w:tcBorders>
              <w:top w:val="single" w:color="000000" w:sz="4" w:space="0"/>
              <w:left w:val="single" w:color="000000" w:sz="4" w:space="0"/>
              <w:bottom w:val="single" w:color="000000" w:sz="4" w:space="0"/>
              <w:right w:val="single" w:color="000000" w:sz="4" w:space="0"/>
            </w:tcBorders>
            <w:vAlign w:val="center"/>
          </w:tcPr>
          <w:p w14:paraId="1812553C">
            <w:pPr>
              <w:widowControl/>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信用记录</w:t>
            </w:r>
          </w:p>
        </w:tc>
        <w:tc>
          <w:tcPr>
            <w:tcW w:w="7110" w:type="dxa"/>
            <w:tcBorders>
              <w:top w:val="single" w:color="000000" w:sz="4" w:space="0"/>
              <w:left w:val="single" w:color="000000" w:sz="4" w:space="0"/>
              <w:bottom w:val="single" w:color="000000" w:sz="4" w:space="0"/>
              <w:right w:val="single" w:color="000000" w:sz="4" w:space="0"/>
            </w:tcBorders>
            <w:vAlign w:val="center"/>
          </w:tcPr>
          <w:p w14:paraId="55CD3B01">
            <w:pPr>
              <w:widowControl/>
              <w:snapToGrid w:val="0"/>
              <w:jc w:val="left"/>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eastAsia="zh-CN"/>
              </w:rPr>
              <w:t>响应</w:t>
            </w:r>
            <w:r>
              <w:rPr>
                <w:rFonts w:hint="eastAsia" w:ascii="Times New Roman" w:hAnsi="Times New Roman" w:eastAsia="方正仿宋_GBK" w:cs="Times New Roman"/>
                <w:color w:val="000000"/>
                <w:sz w:val="24"/>
                <w:szCs w:val="24"/>
                <w:lang w:val="en-US" w:eastAsia="zh-CN"/>
              </w:rPr>
              <w:t>人</w:t>
            </w:r>
            <w:r>
              <w:rPr>
                <w:rFonts w:hint="default" w:ascii="Times New Roman" w:hAnsi="Times New Roman" w:eastAsia="方正仿宋_GBK" w:cs="Times New Roman"/>
                <w:color w:val="000000"/>
                <w:sz w:val="24"/>
                <w:szCs w:val="24"/>
              </w:rPr>
              <w:t>未被列入“信用中国”网站</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www.creditchina.gov.cn</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以下情形之一：①记录失信被执行人；②重大税收违法案件当事人名单；③政府采购严重违法失信行为。同时，不处于中国政府采购网</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www.ccgp.gov.cn</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“政府采购代理机构不良行为记录名单”。</w:t>
            </w:r>
            <w:r>
              <w:rPr>
                <w:rFonts w:hint="eastAsia" w:ascii="Times New Roman" w:hAnsi="Times New Roman" w:eastAsia="方正仿宋_GBK" w:cs="Times New Roman"/>
                <w:color w:val="000000"/>
                <w:sz w:val="24"/>
                <w:szCs w:val="24"/>
                <w:lang w:val="en-US" w:eastAsia="zh-CN"/>
              </w:rPr>
              <w:t>提供相应截图并加盖公章</w:t>
            </w:r>
            <w:r>
              <w:rPr>
                <w:rFonts w:hint="default" w:ascii="Times New Roman" w:hAnsi="Times New Roman" w:eastAsia="方正仿宋_GBK" w:cs="Times New Roman"/>
                <w:color w:val="000000"/>
                <w:sz w:val="24"/>
                <w:szCs w:val="24"/>
                <w:lang w:val="en-US" w:eastAsia="zh-CN"/>
              </w:rPr>
              <w:t>。</w:t>
            </w:r>
          </w:p>
        </w:tc>
      </w:tr>
      <w:tr w14:paraId="1B3828EE">
        <w:tblPrEx>
          <w:tblCellMar>
            <w:top w:w="15" w:type="dxa"/>
            <w:left w:w="15" w:type="dxa"/>
            <w:bottom w:w="15" w:type="dxa"/>
            <w:right w:w="15" w:type="dxa"/>
          </w:tblCellMar>
        </w:tblPrEx>
        <w:trPr>
          <w:trHeight w:val="1314" w:hRule="atLeast"/>
          <w:jc w:val="center"/>
        </w:trPr>
        <w:tc>
          <w:tcPr>
            <w:tcW w:w="1704" w:type="dxa"/>
            <w:tcBorders>
              <w:top w:val="single" w:color="000000" w:sz="4" w:space="0"/>
              <w:left w:val="single" w:color="000000" w:sz="4" w:space="0"/>
              <w:bottom w:val="single" w:color="000000" w:sz="4" w:space="0"/>
              <w:right w:val="single" w:color="000000" w:sz="4" w:space="0"/>
            </w:tcBorders>
            <w:vAlign w:val="center"/>
          </w:tcPr>
          <w:p w14:paraId="1CAD13AD">
            <w:pPr>
              <w:widowControl/>
              <w:jc w:val="center"/>
              <w:textAlignment w:val="center"/>
              <w:rPr>
                <w:rFonts w:hint="default" w:ascii="Times New Roman" w:hAnsi="Times New Roman" w:eastAsia="方正仿宋_GBK" w:cs="Times New Roman"/>
                <w:color w:val="FF0000"/>
                <w:kern w:val="2"/>
                <w:sz w:val="24"/>
                <w:szCs w:val="24"/>
                <w:lang w:val="en-US" w:eastAsia="zh-CN" w:bidi="ar-SA"/>
              </w:rPr>
            </w:pPr>
            <w:r>
              <w:rPr>
                <w:rFonts w:hint="default" w:ascii="Times New Roman" w:hAnsi="Times New Roman" w:eastAsia="方正仿宋_GBK" w:cs="Times New Roman"/>
                <w:color w:val="000000"/>
                <w:sz w:val="24"/>
                <w:szCs w:val="24"/>
              </w:rPr>
              <w:t>备案信息</w:t>
            </w:r>
          </w:p>
        </w:tc>
        <w:tc>
          <w:tcPr>
            <w:tcW w:w="7110" w:type="dxa"/>
            <w:tcBorders>
              <w:top w:val="single" w:color="000000" w:sz="4" w:space="0"/>
              <w:left w:val="single" w:color="000000" w:sz="4" w:space="0"/>
              <w:bottom w:val="single" w:color="000000" w:sz="4" w:space="0"/>
              <w:right w:val="single" w:color="000000" w:sz="4" w:space="0"/>
            </w:tcBorders>
            <w:vAlign w:val="center"/>
          </w:tcPr>
          <w:p w14:paraId="429BFB3F">
            <w:pPr>
              <w:widowControl/>
              <w:snapToGrid w:val="0"/>
              <w:jc w:val="left"/>
              <w:textAlignment w:val="auto"/>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szCs w:val="24"/>
              </w:rPr>
              <w:t>在中国政府采购网</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http://www.ccgp.gov.cn/)和广东省政府采购网</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https://gdgpo.czt.gd.gov.cn/)分别完成政府采购代理机构的网上登记备案。</w:t>
            </w:r>
            <w:r>
              <w:rPr>
                <w:rFonts w:hint="eastAsia" w:ascii="Times New Roman" w:hAnsi="Times New Roman" w:eastAsia="方正仿宋_GBK" w:cs="Times New Roman"/>
                <w:color w:val="000000"/>
                <w:sz w:val="24"/>
                <w:szCs w:val="24"/>
                <w:lang w:val="en-US" w:eastAsia="zh-CN"/>
              </w:rPr>
              <w:t>提供相应截图并加盖公章</w:t>
            </w:r>
            <w:r>
              <w:rPr>
                <w:rFonts w:hint="default" w:ascii="Times New Roman" w:hAnsi="Times New Roman" w:eastAsia="方正仿宋_GBK" w:cs="Times New Roman"/>
                <w:color w:val="000000"/>
                <w:sz w:val="24"/>
                <w:szCs w:val="24"/>
                <w:lang w:val="en-US" w:eastAsia="zh-CN"/>
              </w:rPr>
              <w:t>。</w:t>
            </w:r>
          </w:p>
        </w:tc>
      </w:tr>
      <w:tr w14:paraId="6E592E27">
        <w:tblPrEx>
          <w:tblCellMar>
            <w:top w:w="15" w:type="dxa"/>
            <w:left w:w="15" w:type="dxa"/>
            <w:bottom w:w="15" w:type="dxa"/>
            <w:right w:w="15" w:type="dxa"/>
          </w:tblCellMar>
        </w:tblPrEx>
        <w:trPr>
          <w:trHeight w:val="846" w:hRule="atLeast"/>
          <w:jc w:val="center"/>
        </w:trPr>
        <w:tc>
          <w:tcPr>
            <w:tcW w:w="1704" w:type="dxa"/>
            <w:tcBorders>
              <w:top w:val="single" w:color="000000" w:sz="4" w:space="0"/>
              <w:left w:val="single" w:color="000000" w:sz="4" w:space="0"/>
              <w:bottom w:val="single" w:color="000000" w:sz="4" w:space="0"/>
              <w:right w:val="single" w:color="000000" w:sz="4" w:space="0"/>
            </w:tcBorders>
            <w:vAlign w:val="center"/>
          </w:tcPr>
          <w:p w14:paraId="016B6059">
            <w:pPr>
              <w:snapToGrid w:val="0"/>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响应文件有效</w:t>
            </w:r>
            <w:r>
              <w:rPr>
                <w:rFonts w:hint="default" w:ascii="Times New Roman" w:hAnsi="Times New Roman" w:eastAsia="方正仿宋_GBK" w:cs="Times New Roman"/>
                <w:color w:val="000000"/>
                <w:sz w:val="24"/>
                <w:szCs w:val="24"/>
                <w:lang w:val="en-US" w:eastAsia="zh-CN"/>
              </w:rPr>
              <w:t>性</w:t>
            </w:r>
          </w:p>
        </w:tc>
        <w:tc>
          <w:tcPr>
            <w:tcW w:w="7110" w:type="dxa"/>
            <w:tcBorders>
              <w:top w:val="single" w:color="000000" w:sz="4" w:space="0"/>
              <w:left w:val="single" w:color="000000" w:sz="4" w:space="0"/>
              <w:bottom w:val="single" w:color="000000" w:sz="4" w:space="0"/>
              <w:right w:val="single" w:color="000000" w:sz="4" w:space="0"/>
            </w:tcBorders>
            <w:vAlign w:val="center"/>
          </w:tcPr>
          <w:p w14:paraId="5DFD71CC">
            <w:pPr>
              <w:snapToGrid w:val="0"/>
              <w:jc w:val="left"/>
              <w:rPr>
                <w:rFonts w:hint="eastAsia" w:ascii="Times New Roman" w:hAnsi="Times New Roman" w:eastAsia="方正仿宋_GBK" w:cs="Times New Roman"/>
                <w:color w:val="000000"/>
                <w:sz w:val="24"/>
                <w:szCs w:val="24"/>
                <w:lang w:eastAsia="zh-CN" w:bidi="ar"/>
              </w:rPr>
            </w:pPr>
            <w:r>
              <w:rPr>
                <w:rFonts w:hint="default" w:ascii="Times New Roman" w:hAnsi="Times New Roman" w:eastAsia="方正仿宋_GBK" w:cs="Times New Roman"/>
                <w:color w:val="000000"/>
                <w:sz w:val="24"/>
                <w:szCs w:val="24"/>
                <w:lang w:bidi="ar"/>
              </w:rPr>
              <w:t>按照</w:t>
            </w:r>
            <w:r>
              <w:rPr>
                <w:rFonts w:hint="default" w:ascii="Times New Roman" w:hAnsi="Times New Roman" w:eastAsia="方正仿宋_GBK" w:cs="Times New Roman"/>
                <w:color w:val="000000"/>
                <w:sz w:val="24"/>
                <w:szCs w:val="24"/>
                <w:lang w:val="en-US" w:eastAsia="zh-CN" w:bidi="ar"/>
              </w:rPr>
              <w:t>询比</w:t>
            </w:r>
            <w:r>
              <w:rPr>
                <w:rFonts w:hint="default" w:ascii="Times New Roman" w:hAnsi="Times New Roman" w:eastAsia="方正仿宋_GBK" w:cs="Times New Roman"/>
                <w:color w:val="000000"/>
                <w:sz w:val="24"/>
                <w:szCs w:val="24"/>
                <w:lang w:bidi="ar"/>
              </w:rPr>
              <w:t>文件要求提供相应材料并加盖公章和签署</w:t>
            </w:r>
            <w:r>
              <w:rPr>
                <w:rFonts w:hint="eastAsia" w:ascii="Times New Roman" w:hAnsi="Times New Roman" w:eastAsia="方正仿宋_GBK" w:cs="Times New Roman"/>
                <w:color w:val="000000"/>
                <w:sz w:val="24"/>
                <w:szCs w:val="24"/>
                <w:lang w:eastAsia="zh-CN" w:bidi="ar"/>
              </w:rPr>
              <w:t>。</w:t>
            </w:r>
          </w:p>
        </w:tc>
      </w:tr>
      <w:tr w14:paraId="2681A755">
        <w:tblPrEx>
          <w:tblCellMar>
            <w:top w:w="15" w:type="dxa"/>
            <w:left w:w="15" w:type="dxa"/>
            <w:bottom w:w="15" w:type="dxa"/>
            <w:right w:w="15" w:type="dxa"/>
          </w:tblCellMar>
        </w:tblPrEx>
        <w:trPr>
          <w:trHeight w:val="765" w:hRule="atLeast"/>
          <w:jc w:val="center"/>
        </w:trPr>
        <w:tc>
          <w:tcPr>
            <w:tcW w:w="1704" w:type="dxa"/>
            <w:tcBorders>
              <w:top w:val="single" w:color="000000" w:sz="4" w:space="0"/>
              <w:left w:val="single" w:color="000000" w:sz="4" w:space="0"/>
              <w:bottom w:val="single" w:color="000000" w:sz="4" w:space="0"/>
              <w:right w:val="single" w:color="000000" w:sz="4" w:space="0"/>
            </w:tcBorders>
            <w:vAlign w:val="center"/>
          </w:tcPr>
          <w:p w14:paraId="20338A72">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法定代表人证明及授权文件</w:t>
            </w:r>
          </w:p>
        </w:tc>
        <w:tc>
          <w:tcPr>
            <w:tcW w:w="7110" w:type="dxa"/>
            <w:tcBorders>
              <w:top w:val="single" w:color="000000" w:sz="4" w:space="0"/>
              <w:left w:val="single" w:color="000000" w:sz="4" w:space="0"/>
              <w:bottom w:val="single" w:color="000000" w:sz="4" w:space="0"/>
              <w:right w:val="single" w:color="000000" w:sz="4" w:space="0"/>
            </w:tcBorders>
            <w:vAlign w:val="center"/>
          </w:tcPr>
          <w:p w14:paraId="55A81B44">
            <w:pPr>
              <w:widowControl/>
              <w:snapToGrid w:val="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提供有效的法定代表人证明书及法定代表人授权书（如为法定代表人</w:t>
            </w:r>
            <w:r>
              <w:rPr>
                <w:rFonts w:hint="default" w:ascii="Times New Roman" w:hAnsi="Times New Roman" w:eastAsia="方正仿宋_GBK" w:cs="Times New Roman"/>
                <w:color w:val="000000"/>
                <w:sz w:val="24"/>
                <w:szCs w:val="24"/>
                <w:lang w:eastAsia="zh-CN"/>
              </w:rPr>
              <w:t>响应</w:t>
            </w:r>
            <w:r>
              <w:rPr>
                <w:rFonts w:hint="default" w:ascii="Times New Roman" w:hAnsi="Times New Roman" w:eastAsia="方正仿宋_GBK" w:cs="Times New Roman"/>
                <w:color w:val="000000"/>
                <w:sz w:val="24"/>
                <w:szCs w:val="24"/>
              </w:rPr>
              <w:t>，则无须提供法定代表人授权书）。</w:t>
            </w:r>
          </w:p>
        </w:tc>
      </w:tr>
      <w:tr w14:paraId="69DC51E7">
        <w:tblPrEx>
          <w:tblCellMar>
            <w:top w:w="15" w:type="dxa"/>
            <w:left w:w="15" w:type="dxa"/>
            <w:bottom w:w="15" w:type="dxa"/>
            <w:right w:w="15" w:type="dxa"/>
          </w:tblCellMar>
        </w:tblPrEx>
        <w:trPr>
          <w:trHeight w:val="881" w:hRule="atLeast"/>
          <w:jc w:val="center"/>
        </w:trPr>
        <w:tc>
          <w:tcPr>
            <w:tcW w:w="1704" w:type="dxa"/>
            <w:tcBorders>
              <w:top w:val="single" w:color="000000" w:sz="4" w:space="0"/>
              <w:left w:val="single" w:color="000000" w:sz="4" w:space="0"/>
              <w:bottom w:val="single" w:color="000000" w:sz="4" w:space="0"/>
              <w:right w:val="single" w:color="000000" w:sz="4" w:space="0"/>
            </w:tcBorders>
            <w:vAlign w:val="center"/>
          </w:tcPr>
          <w:p w14:paraId="42D50A44">
            <w:pPr>
              <w:snapToGrid w:val="0"/>
              <w:jc w:val="center"/>
              <w:rPr>
                <w:rFonts w:hint="default" w:ascii="Times New Roman" w:hAnsi="Times New Roman" w:eastAsia="方正仿宋_GBK" w:cs="Times New Roman"/>
                <w:color w:val="000000"/>
                <w:sz w:val="24"/>
                <w:szCs w:val="24"/>
                <w:lang w:bidi="ar"/>
              </w:rPr>
            </w:pPr>
            <w:r>
              <w:rPr>
                <w:rFonts w:hint="default" w:ascii="Times New Roman" w:hAnsi="Times New Roman" w:eastAsia="方正仿宋_GBK" w:cs="Times New Roman"/>
                <w:color w:val="000000"/>
                <w:sz w:val="24"/>
                <w:szCs w:val="24"/>
                <w:lang w:bidi="ar"/>
              </w:rPr>
              <w:t>响应</w:t>
            </w:r>
            <w:r>
              <w:rPr>
                <w:rFonts w:hint="default" w:ascii="Times New Roman" w:hAnsi="Times New Roman" w:eastAsia="方正仿宋_GBK" w:cs="Times New Roman"/>
                <w:color w:val="000000"/>
                <w:sz w:val="24"/>
                <w:szCs w:val="24"/>
                <w:lang w:val="en-US" w:eastAsia="zh-CN" w:bidi="ar"/>
              </w:rPr>
              <w:t>折扣率</w:t>
            </w:r>
            <w:r>
              <w:rPr>
                <w:rFonts w:hint="default" w:ascii="Times New Roman" w:hAnsi="Times New Roman" w:eastAsia="方正仿宋_GBK" w:cs="Times New Roman"/>
                <w:color w:val="000000"/>
                <w:sz w:val="24"/>
                <w:szCs w:val="24"/>
                <w:lang w:bidi="ar"/>
              </w:rPr>
              <w:t>报价</w:t>
            </w:r>
          </w:p>
        </w:tc>
        <w:tc>
          <w:tcPr>
            <w:tcW w:w="7110" w:type="dxa"/>
            <w:tcBorders>
              <w:top w:val="single" w:color="000000" w:sz="4" w:space="0"/>
              <w:left w:val="single" w:color="000000" w:sz="4" w:space="0"/>
              <w:bottom w:val="single" w:color="000000" w:sz="4" w:space="0"/>
              <w:right w:val="single" w:color="000000" w:sz="4" w:space="0"/>
            </w:tcBorders>
            <w:vAlign w:val="center"/>
          </w:tcPr>
          <w:p w14:paraId="68D4E415">
            <w:pPr>
              <w:snapToGrid w:val="0"/>
              <w:jc w:val="left"/>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响应</w:t>
            </w:r>
            <w:r>
              <w:rPr>
                <w:rFonts w:hint="default" w:ascii="Times New Roman" w:hAnsi="Times New Roman" w:eastAsia="方正仿宋_GBK" w:cs="Times New Roman"/>
                <w:sz w:val="24"/>
                <w:szCs w:val="24"/>
                <w:lang w:val="en-US" w:eastAsia="zh-CN" w:bidi="ar"/>
              </w:rPr>
              <w:t>折扣率</w:t>
            </w:r>
            <w:r>
              <w:rPr>
                <w:rFonts w:hint="default" w:ascii="Times New Roman" w:hAnsi="Times New Roman" w:eastAsia="方正仿宋_GBK" w:cs="Times New Roman"/>
                <w:sz w:val="24"/>
                <w:szCs w:val="24"/>
                <w:lang w:bidi="ar"/>
              </w:rPr>
              <w:t>报价是固定价且响应方案唯一，未超过本项目报价</w:t>
            </w:r>
            <w:r>
              <w:rPr>
                <w:rFonts w:hint="default" w:ascii="Times New Roman" w:hAnsi="Times New Roman" w:eastAsia="方正仿宋_GBK" w:cs="Times New Roman"/>
                <w:sz w:val="24"/>
                <w:szCs w:val="24"/>
                <w:lang w:val="en-US" w:eastAsia="zh-CN" w:bidi="ar"/>
              </w:rPr>
              <w:t>区间</w:t>
            </w:r>
            <w:r>
              <w:rPr>
                <w:rFonts w:hint="default" w:ascii="Times New Roman" w:hAnsi="Times New Roman" w:eastAsia="方正仿宋_GBK" w:cs="Times New Roman"/>
                <w:sz w:val="24"/>
                <w:szCs w:val="24"/>
                <w:lang w:bidi="ar"/>
              </w:rPr>
              <w:t>。</w:t>
            </w:r>
          </w:p>
        </w:tc>
      </w:tr>
      <w:tr w14:paraId="1FD39770">
        <w:tblPrEx>
          <w:tblCellMar>
            <w:top w:w="15" w:type="dxa"/>
            <w:left w:w="15" w:type="dxa"/>
            <w:bottom w:w="15" w:type="dxa"/>
            <w:right w:w="15" w:type="dxa"/>
          </w:tblCellMar>
        </w:tblPrEx>
        <w:trPr>
          <w:trHeight w:val="881" w:hRule="atLeast"/>
          <w:jc w:val="center"/>
        </w:trPr>
        <w:tc>
          <w:tcPr>
            <w:tcW w:w="1704" w:type="dxa"/>
            <w:tcBorders>
              <w:top w:val="single" w:color="000000" w:sz="4" w:space="0"/>
              <w:left w:val="single" w:color="000000" w:sz="4" w:space="0"/>
              <w:bottom w:val="single" w:color="000000" w:sz="4" w:space="0"/>
              <w:right w:val="single" w:color="000000" w:sz="4" w:space="0"/>
            </w:tcBorders>
            <w:vAlign w:val="center"/>
          </w:tcPr>
          <w:p w14:paraId="6384FFD1">
            <w:pPr>
              <w:snapToGrid w:val="0"/>
              <w:jc w:val="center"/>
              <w:rPr>
                <w:rFonts w:hint="default" w:ascii="Times New Roman" w:hAnsi="Times New Roman" w:eastAsia="方正仿宋_GBK" w:cs="Times New Roman"/>
                <w:color w:val="000000"/>
                <w:sz w:val="24"/>
                <w:szCs w:val="24"/>
                <w:lang w:bidi="ar"/>
              </w:rPr>
            </w:pPr>
            <w:r>
              <w:rPr>
                <w:rFonts w:hint="default" w:ascii="Times New Roman" w:hAnsi="Times New Roman" w:eastAsia="方正仿宋_GBK" w:cs="Times New Roman"/>
                <w:color w:val="000000"/>
                <w:sz w:val="24"/>
                <w:szCs w:val="24"/>
                <w:lang w:bidi="ar"/>
              </w:rPr>
              <w:t>其他情形</w:t>
            </w:r>
          </w:p>
        </w:tc>
        <w:tc>
          <w:tcPr>
            <w:tcW w:w="7110" w:type="dxa"/>
            <w:tcBorders>
              <w:top w:val="single" w:color="000000" w:sz="4" w:space="0"/>
              <w:left w:val="single" w:color="000000" w:sz="4" w:space="0"/>
              <w:bottom w:val="single" w:color="000000" w:sz="4" w:space="0"/>
              <w:right w:val="single" w:color="000000" w:sz="4" w:space="0"/>
            </w:tcBorders>
            <w:vAlign w:val="center"/>
          </w:tcPr>
          <w:p w14:paraId="6B5DEA9B">
            <w:pPr>
              <w:snapToGrid w:val="0"/>
              <w:jc w:val="left"/>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响应文件没有</w:t>
            </w:r>
            <w:r>
              <w:rPr>
                <w:rFonts w:hint="default" w:ascii="Times New Roman" w:hAnsi="Times New Roman" w:eastAsia="方正仿宋_GBK" w:cs="Times New Roman"/>
                <w:sz w:val="24"/>
                <w:szCs w:val="24"/>
                <w:lang w:val="en-US" w:eastAsia="zh-CN" w:bidi="ar"/>
              </w:rPr>
              <w:t>询比</w:t>
            </w:r>
            <w:r>
              <w:rPr>
                <w:rFonts w:hint="default" w:ascii="Times New Roman" w:hAnsi="Times New Roman" w:eastAsia="方正仿宋_GBK" w:cs="Times New Roman"/>
                <w:sz w:val="24"/>
                <w:szCs w:val="24"/>
                <w:lang w:bidi="ar"/>
              </w:rPr>
              <w:t>文件中规定或法律法规明确规定的</w:t>
            </w:r>
            <w:r>
              <w:rPr>
                <w:rFonts w:hint="eastAsia" w:ascii="Times New Roman" w:hAnsi="Times New Roman" w:eastAsia="方正仿宋_GBK" w:cs="Times New Roman"/>
                <w:sz w:val="24"/>
                <w:szCs w:val="24"/>
                <w:lang w:eastAsia="zh-CN" w:bidi="ar"/>
              </w:rPr>
              <w:t>其他无效</w:t>
            </w:r>
            <w:r>
              <w:rPr>
                <w:rFonts w:hint="default" w:ascii="Times New Roman" w:hAnsi="Times New Roman" w:eastAsia="方正仿宋_GBK" w:cs="Times New Roman"/>
                <w:sz w:val="24"/>
                <w:szCs w:val="24"/>
                <w:lang w:bidi="ar"/>
              </w:rPr>
              <w:t>响应条款的。</w:t>
            </w:r>
          </w:p>
        </w:tc>
      </w:tr>
    </w:tbl>
    <w:p w14:paraId="4A6F5EB1">
      <w:pPr>
        <w:widowControl/>
        <w:shd w:val="clear" w:color="auto" w:fill="auto"/>
        <w:spacing w:line="600" w:lineRule="exact"/>
        <w:ind w:firstLine="0" w:firstLineChars="0"/>
        <w:jc w:val="center"/>
        <w:rPr>
          <w:rFonts w:hint="eastAsia" w:ascii="仿宋" w:hAnsi="仿宋" w:eastAsia="仿宋" w:cs="仿宋"/>
          <w:b/>
          <w:bCs w:val="0"/>
          <w:sz w:val="32"/>
          <w:szCs w:val="32"/>
          <w:highlight w:val="none"/>
        </w:rPr>
      </w:pPr>
      <w:r>
        <w:rPr>
          <w:rFonts w:hint="eastAsia" w:ascii="仿宋" w:hAnsi="仿宋" w:eastAsia="仿宋" w:cs="仿宋"/>
          <w:b/>
          <w:bCs w:val="0"/>
          <w:sz w:val="32"/>
          <w:szCs w:val="32"/>
          <w:highlight w:val="none"/>
        </w:rPr>
        <w:t>评分细则</w:t>
      </w:r>
    </w:p>
    <w:tbl>
      <w:tblPr>
        <w:tblStyle w:val="16"/>
        <w:tblpPr w:leftFromText="180" w:rightFromText="180" w:vertAnchor="text" w:horzAnchor="page" w:tblpX="1900" w:tblpY="455"/>
        <w:tblOverlap w:val="never"/>
        <w:tblW w:w="47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47"/>
        <w:gridCol w:w="922"/>
        <w:gridCol w:w="7009"/>
      </w:tblGrid>
      <w:tr w14:paraId="1D44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blHeader/>
        </w:trPr>
        <w:tc>
          <w:tcPr>
            <w:tcW w:w="430" w:type="pct"/>
            <w:shd w:val="clear" w:color="auto" w:fill="auto"/>
            <w:vAlign w:val="center"/>
          </w:tcPr>
          <w:p w14:paraId="14A4BEC2">
            <w:pPr>
              <w:spacing w:line="440" w:lineRule="exact"/>
              <w:jc w:val="center"/>
              <w:rPr>
                <w:rFonts w:hint="default" w:ascii="Times New Roman" w:hAnsi="Times New Roman" w:eastAsia="方正仿宋_GBK" w:cs="Times New Roman"/>
                <w:b/>
                <w:sz w:val="24"/>
                <w:szCs w:val="24"/>
                <w:highlight w:val="none"/>
              </w:rPr>
            </w:pPr>
            <w:r>
              <w:rPr>
                <w:rFonts w:hint="default" w:ascii="Times New Roman" w:hAnsi="Times New Roman" w:eastAsia="方正仿宋_GBK" w:cs="Times New Roman"/>
                <w:b/>
                <w:sz w:val="24"/>
                <w:szCs w:val="24"/>
                <w:highlight w:val="none"/>
              </w:rPr>
              <w:t>评审类型</w:t>
            </w:r>
          </w:p>
        </w:tc>
        <w:tc>
          <w:tcPr>
            <w:tcW w:w="531" w:type="pct"/>
            <w:shd w:val="clear" w:color="auto" w:fill="auto"/>
            <w:vAlign w:val="center"/>
          </w:tcPr>
          <w:p w14:paraId="09C70BAF">
            <w:pPr>
              <w:spacing w:line="440" w:lineRule="exact"/>
              <w:jc w:val="center"/>
              <w:rPr>
                <w:rFonts w:hint="default" w:ascii="Times New Roman" w:hAnsi="Times New Roman" w:eastAsia="方正仿宋_GBK" w:cs="Times New Roman"/>
                <w:b/>
                <w:sz w:val="24"/>
                <w:szCs w:val="24"/>
                <w:highlight w:val="none"/>
              </w:rPr>
            </w:pPr>
            <w:r>
              <w:rPr>
                <w:rFonts w:hint="default" w:ascii="Times New Roman" w:hAnsi="Times New Roman" w:eastAsia="方正仿宋_GBK" w:cs="Times New Roman"/>
                <w:b/>
                <w:sz w:val="24"/>
                <w:szCs w:val="24"/>
                <w:highlight w:val="none"/>
              </w:rPr>
              <w:t>评审项目</w:t>
            </w:r>
          </w:p>
        </w:tc>
        <w:tc>
          <w:tcPr>
            <w:tcW w:w="4037" w:type="pct"/>
            <w:shd w:val="clear" w:color="auto" w:fill="auto"/>
            <w:vAlign w:val="center"/>
          </w:tcPr>
          <w:p w14:paraId="19B55E19">
            <w:pPr>
              <w:spacing w:line="440" w:lineRule="exact"/>
              <w:jc w:val="center"/>
              <w:rPr>
                <w:rFonts w:hint="default" w:ascii="Times New Roman" w:hAnsi="Times New Roman" w:eastAsia="方正仿宋_GBK" w:cs="Times New Roman"/>
                <w:b/>
                <w:sz w:val="24"/>
                <w:szCs w:val="24"/>
                <w:highlight w:val="none"/>
              </w:rPr>
            </w:pPr>
            <w:r>
              <w:rPr>
                <w:rFonts w:hint="default" w:ascii="Times New Roman" w:hAnsi="Times New Roman" w:eastAsia="方正仿宋_GBK" w:cs="Times New Roman"/>
                <w:b/>
                <w:sz w:val="24"/>
                <w:szCs w:val="24"/>
                <w:highlight w:val="none"/>
              </w:rPr>
              <w:t>评审标准</w:t>
            </w:r>
          </w:p>
        </w:tc>
      </w:tr>
      <w:tr w14:paraId="2AF9E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30" w:type="pct"/>
            <w:vMerge w:val="restart"/>
            <w:shd w:val="clear" w:color="auto" w:fill="auto"/>
            <w:vAlign w:val="center"/>
          </w:tcPr>
          <w:p w14:paraId="1AB9B825">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商务评分（</w:t>
            </w:r>
            <w:r>
              <w:rPr>
                <w:rFonts w:hint="default" w:ascii="Times New Roman" w:hAnsi="Times New Roman" w:eastAsia="方正仿宋_GBK" w:cs="Times New Roman"/>
                <w:sz w:val="24"/>
                <w:szCs w:val="24"/>
                <w:highlight w:val="none"/>
                <w:lang w:val="en-US" w:eastAsia="zh-CN"/>
              </w:rPr>
              <w:t>40</w:t>
            </w:r>
            <w:r>
              <w:rPr>
                <w:rFonts w:hint="default" w:ascii="Times New Roman" w:hAnsi="Times New Roman" w:eastAsia="方正仿宋_GBK" w:cs="Times New Roman"/>
                <w:sz w:val="24"/>
                <w:szCs w:val="24"/>
                <w:highlight w:val="none"/>
              </w:rPr>
              <w:t>分）</w:t>
            </w:r>
          </w:p>
        </w:tc>
        <w:tc>
          <w:tcPr>
            <w:tcW w:w="531" w:type="pct"/>
            <w:shd w:val="clear" w:color="auto" w:fill="auto"/>
            <w:vAlign w:val="center"/>
          </w:tcPr>
          <w:p w14:paraId="62451ECB">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同类业绩（20分）</w:t>
            </w:r>
          </w:p>
        </w:tc>
        <w:tc>
          <w:tcPr>
            <w:tcW w:w="4037" w:type="pct"/>
            <w:shd w:val="clear" w:color="auto" w:fill="auto"/>
            <w:vAlign w:val="center"/>
          </w:tcPr>
          <w:p w14:paraId="34B2DABF">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eastAsia="zh-CN"/>
              </w:rPr>
              <w:t>202</w:t>
            </w:r>
            <w:r>
              <w:rPr>
                <w:rFonts w:hint="default" w:ascii="Times New Roman" w:hAnsi="Times New Roman" w:eastAsia="方正仿宋_GBK" w:cs="Times New Roman"/>
                <w:sz w:val="24"/>
                <w:szCs w:val="24"/>
                <w:highlight w:val="none"/>
                <w:lang w:val="en-US" w:eastAsia="zh-CN"/>
              </w:rPr>
              <w:t>2</w:t>
            </w:r>
            <w:r>
              <w:rPr>
                <w:rFonts w:hint="default" w:ascii="Times New Roman" w:hAnsi="Times New Roman" w:eastAsia="方正仿宋_GBK" w:cs="Times New Roman"/>
                <w:sz w:val="24"/>
                <w:szCs w:val="24"/>
                <w:highlight w:val="none"/>
                <w:lang w:eastAsia="zh-CN"/>
              </w:rPr>
              <w:t>年1月1日至今</w:t>
            </w:r>
            <w:r>
              <w:rPr>
                <w:rFonts w:hint="default" w:ascii="Times New Roman" w:hAnsi="Times New Roman" w:eastAsia="方正仿宋_GBK" w:cs="Times New Roman"/>
                <w:color w:val="000000" w:themeColor="text1"/>
                <w:sz w:val="24"/>
                <w:szCs w:val="24"/>
                <w14:textFill>
                  <w14:solidFill>
                    <w14:schemeClr w14:val="tx1"/>
                  </w14:solidFill>
                </w14:textFill>
              </w:rPr>
              <w:t>（以招标公告</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发布</w:t>
            </w:r>
            <w:r>
              <w:rPr>
                <w:rFonts w:hint="default" w:ascii="Times New Roman" w:hAnsi="Times New Roman" w:eastAsia="方正仿宋_GBK" w:cs="Times New Roman"/>
                <w:color w:val="000000" w:themeColor="text1"/>
                <w:sz w:val="24"/>
                <w:szCs w:val="24"/>
                <w14:textFill>
                  <w14:solidFill>
                    <w14:schemeClr w14:val="tx1"/>
                  </w14:solidFill>
                </w14:textFill>
              </w:rPr>
              <w:t>时间为依据）</w:t>
            </w:r>
            <w:r>
              <w:rPr>
                <w:rFonts w:hint="default" w:ascii="Times New Roman" w:hAnsi="Times New Roman" w:eastAsia="方正仿宋_GBK" w:cs="Times New Roman"/>
                <w:sz w:val="24"/>
                <w:szCs w:val="24"/>
                <w:highlight w:val="none"/>
                <w:lang w:val="en-US" w:eastAsia="zh-CN"/>
              </w:rPr>
              <w:t>响应人</w:t>
            </w:r>
            <w:r>
              <w:rPr>
                <w:rFonts w:hint="default" w:ascii="Times New Roman" w:hAnsi="Times New Roman" w:eastAsia="方正仿宋_GBK" w:cs="Times New Roman"/>
                <w:sz w:val="24"/>
                <w:szCs w:val="24"/>
                <w:highlight w:val="none"/>
              </w:rPr>
              <w:t>承担过</w:t>
            </w:r>
            <w:r>
              <w:rPr>
                <w:rFonts w:hint="default" w:ascii="Times New Roman" w:hAnsi="Times New Roman" w:eastAsia="方正仿宋_GBK" w:cs="Times New Roman"/>
                <w:sz w:val="24"/>
                <w:szCs w:val="24"/>
                <w:highlight w:val="none"/>
                <w:lang w:val="en-US" w:eastAsia="zh-CN"/>
              </w:rPr>
              <w:t>政府采购代理</w:t>
            </w:r>
            <w:r>
              <w:rPr>
                <w:rFonts w:hint="default" w:ascii="Times New Roman" w:hAnsi="Times New Roman" w:eastAsia="方正仿宋_GBK" w:cs="Times New Roman"/>
                <w:sz w:val="24"/>
                <w:szCs w:val="24"/>
                <w:highlight w:val="none"/>
                <w:lang w:eastAsia="zh-CN"/>
              </w:rPr>
              <w:t>服务</w:t>
            </w:r>
            <w:r>
              <w:rPr>
                <w:rFonts w:hint="default" w:ascii="Times New Roman" w:hAnsi="Times New Roman" w:eastAsia="方正仿宋_GBK" w:cs="Times New Roman"/>
                <w:sz w:val="24"/>
                <w:szCs w:val="24"/>
                <w:highlight w:val="none"/>
                <w:lang w:val="en-US" w:eastAsia="zh-CN"/>
              </w:rPr>
              <w:t>的</w:t>
            </w:r>
            <w:r>
              <w:rPr>
                <w:rFonts w:hint="default" w:ascii="Times New Roman" w:hAnsi="Times New Roman" w:eastAsia="方正仿宋_GBK" w:cs="Times New Roman"/>
                <w:sz w:val="24"/>
                <w:szCs w:val="24"/>
                <w:highlight w:val="none"/>
              </w:rPr>
              <w:t>业绩，每提供一个得</w:t>
            </w:r>
            <w:r>
              <w:rPr>
                <w:rFonts w:hint="default" w:ascii="Times New Roman" w:hAnsi="Times New Roman" w:eastAsia="方正仿宋_GBK" w:cs="Times New Roman"/>
                <w:sz w:val="24"/>
                <w:szCs w:val="24"/>
                <w:highlight w:val="none"/>
                <w:lang w:val="en-US" w:eastAsia="zh-CN"/>
              </w:rPr>
              <w:t>4</w:t>
            </w:r>
            <w:r>
              <w:rPr>
                <w:rFonts w:hint="default" w:ascii="Times New Roman" w:hAnsi="Times New Roman" w:eastAsia="方正仿宋_GBK" w:cs="Times New Roman"/>
                <w:sz w:val="24"/>
                <w:szCs w:val="24"/>
                <w:highlight w:val="none"/>
              </w:rPr>
              <w:t>分，满分</w:t>
            </w:r>
            <w:r>
              <w:rPr>
                <w:rFonts w:hint="default" w:ascii="Times New Roman" w:hAnsi="Times New Roman" w:eastAsia="方正仿宋_GBK" w:cs="Times New Roman"/>
                <w:sz w:val="24"/>
                <w:szCs w:val="24"/>
                <w:highlight w:val="none"/>
                <w:lang w:eastAsia="zh-CN"/>
              </w:rPr>
              <w:t>2</w:t>
            </w:r>
            <w:r>
              <w:rPr>
                <w:rFonts w:hint="default" w:ascii="Times New Roman" w:hAnsi="Times New Roman" w:eastAsia="方正仿宋_GBK" w:cs="Times New Roman"/>
                <w:sz w:val="24"/>
                <w:szCs w:val="24"/>
                <w:highlight w:val="none"/>
                <w:lang w:val="en-US" w:eastAsia="zh-CN"/>
              </w:rPr>
              <w:t>0</w:t>
            </w:r>
            <w:r>
              <w:rPr>
                <w:rFonts w:hint="default" w:ascii="Times New Roman" w:hAnsi="Times New Roman" w:eastAsia="方正仿宋_GBK" w:cs="Times New Roman"/>
                <w:sz w:val="24"/>
                <w:szCs w:val="24"/>
                <w:highlight w:val="none"/>
              </w:rPr>
              <w:t>分。</w:t>
            </w:r>
          </w:p>
          <w:p w14:paraId="5D87A2E8">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b w:val="0"/>
                <w:bCs w:val="0"/>
                <w:sz w:val="24"/>
                <w:szCs w:val="24"/>
                <w:highlight w:val="none"/>
              </w:rPr>
              <w:t>注：须提供在</w:t>
            </w:r>
            <w:r>
              <w:rPr>
                <w:rFonts w:hint="default" w:ascii="Times New Roman" w:hAnsi="Times New Roman" w:eastAsia="方正仿宋_GBK" w:cs="Times New Roman"/>
                <w:b w:val="0"/>
                <w:bCs w:val="0"/>
                <w:sz w:val="24"/>
                <w:szCs w:val="24"/>
                <w:highlight w:val="none"/>
                <w:lang w:val="en-US" w:eastAsia="zh-CN"/>
              </w:rPr>
              <w:t>中国政府采购网、广东省政府采购网或广东省公共资源</w:t>
            </w:r>
            <w:r>
              <w:rPr>
                <w:rFonts w:hint="eastAsia" w:ascii="Times New Roman" w:hAnsi="Times New Roman" w:eastAsia="方正仿宋_GBK" w:cs="Times New Roman"/>
                <w:b w:val="0"/>
                <w:bCs w:val="0"/>
                <w:sz w:val="24"/>
                <w:szCs w:val="24"/>
                <w:highlight w:val="none"/>
                <w:lang w:val="en-US" w:eastAsia="zh-CN"/>
              </w:rPr>
              <w:t>交易</w:t>
            </w:r>
            <w:r>
              <w:rPr>
                <w:rFonts w:hint="default" w:ascii="Times New Roman" w:hAnsi="Times New Roman" w:eastAsia="方正仿宋_GBK" w:cs="Times New Roman"/>
                <w:b w:val="0"/>
                <w:bCs w:val="0"/>
                <w:sz w:val="24"/>
                <w:szCs w:val="24"/>
                <w:highlight w:val="none"/>
                <w:lang w:val="en-US" w:eastAsia="zh-CN"/>
              </w:rPr>
              <w:t>平台、江门市采购行业协会官网、各政府采购人或国企采购人官网</w:t>
            </w:r>
            <w:r>
              <w:rPr>
                <w:rFonts w:hint="default" w:ascii="Times New Roman" w:hAnsi="Times New Roman" w:eastAsia="方正仿宋_GBK" w:cs="Times New Roman"/>
                <w:b w:val="0"/>
                <w:bCs w:val="0"/>
                <w:sz w:val="24"/>
                <w:szCs w:val="24"/>
                <w:highlight w:val="none"/>
              </w:rPr>
              <w:t>上发布的招标</w:t>
            </w:r>
            <w:r>
              <w:rPr>
                <w:rFonts w:hint="default" w:ascii="Times New Roman" w:hAnsi="Times New Roman" w:eastAsia="方正仿宋_GBK" w:cs="Times New Roman"/>
                <w:b w:val="0"/>
                <w:bCs w:val="0"/>
                <w:sz w:val="24"/>
                <w:szCs w:val="24"/>
                <w:highlight w:val="none"/>
                <w:lang w:val="en-US" w:eastAsia="zh-CN"/>
              </w:rPr>
              <w:t>采购</w:t>
            </w:r>
            <w:r>
              <w:rPr>
                <w:rFonts w:hint="default" w:ascii="Times New Roman" w:hAnsi="Times New Roman" w:eastAsia="方正仿宋_GBK" w:cs="Times New Roman"/>
                <w:b w:val="0"/>
                <w:bCs w:val="0"/>
                <w:sz w:val="24"/>
                <w:szCs w:val="24"/>
                <w:highlight w:val="none"/>
              </w:rPr>
              <w:t>公告、结果公告截图和有效的合同复印件，并加盖公章，否则不得分。</w:t>
            </w:r>
          </w:p>
        </w:tc>
      </w:tr>
      <w:tr w14:paraId="7FFE0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30" w:type="pct"/>
            <w:vMerge w:val="continue"/>
            <w:shd w:val="clear" w:color="auto" w:fill="auto"/>
            <w:vAlign w:val="center"/>
          </w:tcPr>
          <w:p w14:paraId="61AC075F">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rPr>
            </w:pPr>
          </w:p>
        </w:tc>
        <w:tc>
          <w:tcPr>
            <w:tcW w:w="531" w:type="pct"/>
            <w:shd w:val="clear" w:color="auto" w:fill="auto"/>
            <w:vAlign w:val="center"/>
          </w:tcPr>
          <w:p w14:paraId="51F6764E">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评标环境（</w:t>
            </w:r>
            <w:r>
              <w:rPr>
                <w:rFonts w:hint="default" w:ascii="Times New Roman" w:hAnsi="Times New Roman" w:eastAsia="方正仿宋_GBK" w:cs="Times New Roman"/>
                <w:sz w:val="24"/>
                <w:szCs w:val="24"/>
                <w:highlight w:val="none"/>
                <w:lang w:val="en-US" w:eastAsia="zh-CN"/>
              </w:rPr>
              <w:t>20</w:t>
            </w:r>
            <w:r>
              <w:rPr>
                <w:rFonts w:hint="default" w:ascii="Times New Roman" w:hAnsi="Times New Roman" w:eastAsia="方正仿宋_GBK" w:cs="Times New Roman"/>
                <w:sz w:val="24"/>
                <w:szCs w:val="24"/>
                <w:highlight w:val="none"/>
              </w:rPr>
              <w:t>分）</w:t>
            </w:r>
          </w:p>
        </w:tc>
        <w:tc>
          <w:tcPr>
            <w:tcW w:w="4037" w:type="pct"/>
            <w:shd w:val="clear" w:color="auto" w:fill="auto"/>
            <w:vAlign w:val="center"/>
          </w:tcPr>
          <w:p w14:paraId="7B2AF69E">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根据</w:t>
            </w:r>
            <w:r>
              <w:rPr>
                <w:rFonts w:hint="eastAsia" w:ascii="Times New Roman" w:hAnsi="Times New Roman" w:eastAsia="方正仿宋_GBK" w:cs="Times New Roman"/>
                <w:sz w:val="24"/>
                <w:szCs w:val="24"/>
                <w:lang w:eastAsia="zh-CN"/>
              </w:rPr>
              <w:t>响应人</w:t>
            </w:r>
            <w:r>
              <w:rPr>
                <w:rFonts w:hint="default" w:ascii="Times New Roman" w:hAnsi="Times New Roman" w:eastAsia="方正仿宋_GBK" w:cs="Times New Roman"/>
                <w:sz w:val="24"/>
                <w:szCs w:val="24"/>
                <w:lang w:val="en-US" w:eastAsia="zh-CN"/>
              </w:rPr>
              <w:t>自有</w:t>
            </w:r>
            <w:r>
              <w:rPr>
                <w:rFonts w:hint="default" w:ascii="Times New Roman" w:hAnsi="Times New Roman" w:eastAsia="方正仿宋_GBK" w:cs="Times New Roman"/>
                <w:sz w:val="24"/>
                <w:szCs w:val="24"/>
                <w:lang w:eastAsia="zh-CN"/>
              </w:rPr>
              <w:t>配</w:t>
            </w:r>
            <w:r>
              <w:rPr>
                <w:rFonts w:hint="default" w:ascii="Times New Roman" w:hAnsi="Times New Roman" w:eastAsia="方正仿宋_GBK" w:cs="Times New Roman"/>
                <w:sz w:val="24"/>
                <w:szCs w:val="24"/>
                <w:lang w:val="en-US" w:eastAsia="zh-CN"/>
              </w:rPr>
              <w:t>备</w:t>
            </w:r>
            <w:r>
              <w:rPr>
                <w:rFonts w:hint="default" w:ascii="Times New Roman" w:hAnsi="Times New Roman" w:eastAsia="方正仿宋_GBK" w:cs="Times New Roman"/>
                <w:sz w:val="24"/>
                <w:szCs w:val="24"/>
                <w:lang w:eastAsia="zh-CN"/>
              </w:rPr>
              <w:t>标准开评标区域、</w:t>
            </w:r>
            <w:r>
              <w:rPr>
                <w:rFonts w:hint="default" w:ascii="Times New Roman" w:hAnsi="Times New Roman" w:eastAsia="方正仿宋_GBK" w:cs="Times New Roman"/>
                <w:sz w:val="24"/>
                <w:szCs w:val="24"/>
                <w:lang w:val="en-US" w:eastAsia="zh-CN"/>
              </w:rPr>
              <w:t>评标</w:t>
            </w:r>
            <w:r>
              <w:rPr>
                <w:rFonts w:hint="default" w:ascii="Times New Roman" w:hAnsi="Times New Roman" w:eastAsia="方正仿宋_GBK" w:cs="Times New Roman"/>
                <w:sz w:val="24"/>
                <w:szCs w:val="24"/>
                <w:lang w:eastAsia="zh-CN"/>
              </w:rPr>
              <w:t>评审室等，且全过程配备监控录像录音设备的，</w:t>
            </w:r>
            <w:r>
              <w:rPr>
                <w:rFonts w:hint="default" w:ascii="Times New Roman" w:hAnsi="Times New Roman" w:eastAsia="方正仿宋_GBK" w:cs="Times New Roman"/>
                <w:sz w:val="24"/>
                <w:szCs w:val="24"/>
                <w:lang w:val="en-US" w:eastAsia="zh-CN"/>
              </w:rPr>
              <w:t>进行评审</w:t>
            </w:r>
          </w:p>
          <w:p w14:paraId="056702C0">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开评标区域划分清晰明确、评标</w:t>
            </w:r>
            <w:r>
              <w:rPr>
                <w:rFonts w:hint="default" w:ascii="Times New Roman" w:hAnsi="Times New Roman" w:eastAsia="方正仿宋_GBK" w:cs="Times New Roman"/>
                <w:sz w:val="24"/>
                <w:szCs w:val="24"/>
                <w:lang w:eastAsia="zh-CN"/>
              </w:rPr>
              <w:t>评审室</w:t>
            </w:r>
            <w:r>
              <w:rPr>
                <w:rFonts w:hint="default" w:ascii="Times New Roman" w:hAnsi="Times New Roman" w:eastAsia="方正仿宋_GBK" w:cs="Times New Roman"/>
                <w:sz w:val="24"/>
                <w:szCs w:val="24"/>
                <w:lang w:val="en-US" w:eastAsia="zh-CN"/>
              </w:rPr>
              <w:t>设备设施齐全的且</w:t>
            </w:r>
            <w:r>
              <w:rPr>
                <w:rFonts w:hint="default" w:ascii="Times New Roman" w:hAnsi="Times New Roman" w:eastAsia="方正仿宋_GBK" w:cs="Times New Roman"/>
                <w:sz w:val="24"/>
                <w:szCs w:val="24"/>
                <w:lang w:eastAsia="zh-CN"/>
              </w:rPr>
              <w:t>配备</w:t>
            </w:r>
            <w:r>
              <w:rPr>
                <w:rFonts w:hint="default" w:ascii="Times New Roman" w:hAnsi="Times New Roman" w:eastAsia="方正仿宋_GBK" w:cs="Times New Roman"/>
                <w:sz w:val="24"/>
                <w:szCs w:val="24"/>
                <w:lang w:val="en-US" w:eastAsia="zh-CN"/>
              </w:rPr>
              <w:t>无死角</w:t>
            </w:r>
            <w:r>
              <w:rPr>
                <w:rFonts w:hint="default" w:ascii="Times New Roman" w:hAnsi="Times New Roman" w:eastAsia="方正仿宋_GBK" w:cs="Times New Roman"/>
                <w:sz w:val="24"/>
                <w:szCs w:val="24"/>
                <w:lang w:eastAsia="zh-CN"/>
              </w:rPr>
              <w:t>监控录像录音设备的得</w:t>
            </w:r>
            <w:r>
              <w:rPr>
                <w:rFonts w:hint="default" w:ascii="Times New Roman" w:hAnsi="Times New Roman" w:eastAsia="方正仿宋_GBK" w:cs="Times New Roman"/>
                <w:sz w:val="24"/>
                <w:szCs w:val="24"/>
                <w:lang w:val="en-US" w:eastAsia="zh-CN"/>
              </w:rPr>
              <w:t>20</w:t>
            </w:r>
            <w:r>
              <w:rPr>
                <w:rFonts w:hint="default" w:ascii="Times New Roman" w:hAnsi="Times New Roman" w:eastAsia="方正仿宋_GBK" w:cs="Times New Roman"/>
                <w:sz w:val="24"/>
                <w:szCs w:val="24"/>
                <w:lang w:eastAsia="zh-CN"/>
              </w:rPr>
              <w:t>分；</w:t>
            </w:r>
          </w:p>
          <w:p w14:paraId="17FC3365">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开评标区域划分相对清晰明确、评标</w:t>
            </w:r>
            <w:r>
              <w:rPr>
                <w:rFonts w:hint="default" w:ascii="Times New Roman" w:hAnsi="Times New Roman" w:eastAsia="方正仿宋_GBK" w:cs="Times New Roman"/>
                <w:sz w:val="24"/>
                <w:szCs w:val="24"/>
                <w:lang w:eastAsia="zh-CN"/>
              </w:rPr>
              <w:t>评审室</w:t>
            </w:r>
            <w:r>
              <w:rPr>
                <w:rFonts w:hint="default" w:ascii="Times New Roman" w:hAnsi="Times New Roman" w:eastAsia="方正仿宋_GBK" w:cs="Times New Roman"/>
                <w:sz w:val="24"/>
                <w:szCs w:val="24"/>
                <w:lang w:val="en-US" w:eastAsia="zh-CN"/>
              </w:rPr>
              <w:t>设备设施较为齐全的且</w:t>
            </w:r>
            <w:r>
              <w:rPr>
                <w:rFonts w:hint="default" w:ascii="Times New Roman" w:hAnsi="Times New Roman" w:eastAsia="方正仿宋_GBK" w:cs="Times New Roman"/>
                <w:sz w:val="24"/>
                <w:szCs w:val="24"/>
                <w:lang w:eastAsia="zh-CN"/>
              </w:rPr>
              <w:t>配备监控录像录音设备的得</w:t>
            </w:r>
            <w:r>
              <w:rPr>
                <w:rFonts w:hint="default" w:ascii="Times New Roman" w:hAnsi="Times New Roman" w:eastAsia="方正仿宋_GBK" w:cs="Times New Roman"/>
                <w:sz w:val="24"/>
                <w:szCs w:val="24"/>
                <w:lang w:val="en-US" w:eastAsia="zh-CN"/>
              </w:rPr>
              <w:t>15</w:t>
            </w:r>
            <w:r>
              <w:rPr>
                <w:rFonts w:hint="default" w:ascii="Times New Roman" w:hAnsi="Times New Roman" w:eastAsia="方正仿宋_GBK" w:cs="Times New Roman"/>
                <w:sz w:val="24"/>
                <w:szCs w:val="24"/>
                <w:lang w:eastAsia="zh-CN"/>
              </w:rPr>
              <w:t>分；</w:t>
            </w:r>
          </w:p>
          <w:p w14:paraId="7BD80EF3">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（3）开评标区域没有明确划分、评标</w:t>
            </w:r>
            <w:r>
              <w:rPr>
                <w:rFonts w:hint="default" w:ascii="Times New Roman" w:hAnsi="Times New Roman" w:eastAsia="方正仿宋_GBK" w:cs="Times New Roman"/>
                <w:sz w:val="24"/>
                <w:szCs w:val="24"/>
                <w:lang w:eastAsia="zh-CN"/>
              </w:rPr>
              <w:t>评审室</w:t>
            </w:r>
            <w:r>
              <w:rPr>
                <w:rFonts w:hint="default" w:ascii="Times New Roman" w:hAnsi="Times New Roman" w:eastAsia="方正仿宋_GBK" w:cs="Times New Roman"/>
                <w:sz w:val="24"/>
                <w:szCs w:val="24"/>
                <w:lang w:val="en-US" w:eastAsia="zh-CN"/>
              </w:rPr>
              <w:t>设备设施欠缺的，</w:t>
            </w:r>
            <w:r>
              <w:rPr>
                <w:rFonts w:hint="default" w:ascii="Times New Roman" w:hAnsi="Times New Roman" w:eastAsia="方正仿宋_GBK" w:cs="Times New Roman"/>
                <w:sz w:val="24"/>
                <w:szCs w:val="24"/>
                <w:lang w:eastAsia="zh-CN"/>
              </w:rPr>
              <w:t>配备监控录像录音设备</w:t>
            </w:r>
            <w:r>
              <w:rPr>
                <w:rFonts w:hint="default" w:ascii="Times New Roman" w:hAnsi="Times New Roman" w:eastAsia="方正仿宋_GBK" w:cs="Times New Roman"/>
                <w:sz w:val="24"/>
                <w:szCs w:val="24"/>
                <w:lang w:val="en-US" w:eastAsia="zh-CN"/>
              </w:rPr>
              <w:t>不齐全，不清晰</w:t>
            </w:r>
            <w:r>
              <w:rPr>
                <w:rFonts w:hint="default" w:ascii="Times New Roman" w:hAnsi="Times New Roman" w:eastAsia="方正仿宋_GBK" w:cs="Times New Roman"/>
                <w:sz w:val="24"/>
                <w:szCs w:val="24"/>
                <w:lang w:eastAsia="zh-CN"/>
              </w:rPr>
              <w:t>的得</w:t>
            </w:r>
            <w:r>
              <w:rPr>
                <w:rFonts w:hint="default" w:ascii="Times New Roman" w:hAnsi="Times New Roman" w:eastAsia="方正仿宋_GBK" w:cs="Times New Roman"/>
                <w:sz w:val="24"/>
                <w:szCs w:val="24"/>
                <w:lang w:val="en-US" w:eastAsia="zh-CN"/>
              </w:rPr>
              <w:t>5</w:t>
            </w:r>
            <w:r>
              <w:rPr>
                <w:rFonts w:hint="default" w:ascii="Times New Roman" w:hAnsi="Times New Roman" w:eastAsia="方正仿宋_GBK" w:cs="Times New Roman"/>
                <w:sz w:val="24"/>
                <w:szCs w:val="24"/>
                <w:lang w:eastAsia="zh-CN"/>
              </w:rPr>
              <w:t>分；</w:t>
            </w:r>
          </w:p>
          <w:p w14:paraId="51ACD89B">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注：需在响应文件中说明</w:t>
            </w:r>
            <w:r>
              <w:rPr>
                <w:rFonts w:hint="default" w:ascii="Times New Roman" w:hAnsi="Times New Roman" w:eastAsia="方正仿宋_GBK" w:cs="Times New Roman"/>
                <w:sz w:val="24"/>
                <w:szCs w:val="24"/>
                <w:lang w:val="en-US" w:eastAsia="zh-CN"/>
              </w:rPr>
              <w:t>及相关证明材料</w:t>
            </w:r>
            <w:r>
              <w:rPr>
                <w:rFonts w:hint="default" w:ascii="Times New Roman" w:hAnsi="Times New Roman" w:eastAsia="方正仿宋_GBK" w:cs="Times New Roman"/>
                <w:sz w:val="24"/>
                <w:szCs w:val="24"/>
                <w:lang w:eastAsia="zh-CN"/>
              </w:rPr>
              <w:t>，不提供不得分。</w:t>
            </w:r>
          </w:p>
        </w:tc>
      </w:tr>
      <w:tr w14:paraId="6E231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430" w:type="pct"/>
            <w:vMerge w:val="restart"/>
            <w:shd w:val="clear" w:color="auto" w:fill="auto"/>
            <w:vAlign w:val="center"/>
          </w:tcPr>
          <w:p w14:paraId="4912AD77">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技术评分（</w:t>
            </w:r>
            <w:r>
              <w:rPr>
                <w:rFonts w:hint="default" w:ascii="Times New Roman" w:hAnsi="Times New Roman" w:eastAsia="方正仿宋_GBK" w:cs="Times New Roman"/>
                <w:sz w:val="24"/>
                <w:szCs w:val="24"/>
                <w:highlight w:val="none"/>
                <w:lang w:val="en-US" w:eastAsia="zh-CN"/>
              </w:rPr>
              <w:t>40</w:t>
            </w:r>
            <w:r>
              <w:rPr>
                <w:rFonts w:hint="default" w:ascii="Times New Roman" w:hAnsi="Times New Roman" w:eastAsia="方正仿宋_GBK" w:cs="Times New Roman"/>
                <w:sz w:val="24"/>
                <w:szCs w:val="24"/>
                <w:highlight w:val="none"/>
              </w:rPr>
              <w:t>分）</w:t>
            </w:r>
          </w:p>
        </w:tc>
        <w:tc>
          <w:tcPr>
            <w:tcW w:w="531" w:type="pct"/>
            <w:shd w:val="clear" w:color="auto" w:fill="auto"/>
            <w:vAlign w:val="center"/>
          </w:tcPr>
          <w:p w14:paraId="180E04D9">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实施方案（2</w:t>
            </w:r>
            <w:r>
              <w:rPr>
                <w:rFonts w:hint="default" w:ascii="Times New Roman" w:hAnsi="Times New Roman" w:eastAsia="方正仿宋_GBK" w:cs="Times New Roman"/>
                <w:sz w:val="24"/>
                <w:szCs w:val="24"/>
                <w:highlight w:val="none"/>
                <w:lang w:val="en-US" w:eastAsia="zh-CN"/>
              </w:rPr>
              <w:t>0</w:t>
            </w:r>
            <w:r>
              <w:rPr>
                <w:rFonts w:hint="default" w:ascii="Times New Roman" w:hAnsi="Times New Roman" w:eastAsia="方正仿宋_GBK" w:cs="Times New Roman"/>
                <w:sz w:val="24"/>
                <w:szCs w:val="24"/>
                <w:highlight w:val="none"/>
              </w:rPr>
              <w:t>分）</w:t>
            </w:r>
          </w:p>
        </w:tc>
        <w:tc>
          <w:tcPr>
            <w:tcW w:w="4037" w:type="pct"/>
            <w:shd w:val="clear" w:color="auto" w:fill="auto"/>
            <w:vAlign w:val="center"/>
          </w:tcPr>
          <w:p w14:paraId="4ED3449A">
            <w:pPr>
              <w:keepNext w:val="0"/>
              <w:keepLines w:val="0"/>
              <w:pageBreakBefore w:val="0"/>
              <w:numPr>
                <w:ilvl w:val="0"/>
                <w:numId w:val="2"/>
              </w:numPr>
              <w:kinsoku/>
              <w:wordWrap/>
              <w:overflowPunct/>
              <w:topLinePunct w:val="0"/>
              <w:autoSpaceDE/>
              <w:autoSpaceDN/>
              <w:bidi w:val="0"/>
              <w:adjustRightInd/>
              <w:snapToGrid/>
              <w:spacing w:line="400" w:lineRule="exact"/>
              <w:ind w:left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代理组织</w:t>
            </w:r>
            <w:r>
              <w:rPr>
                <w:rFonts w:hint="default" w:ascii="Times New Roman" w:hAnsi="Times New Roman" w:eastAsia="方正仿宋_GBK" w:cs="Times New Roman"/>
                <w:sz w:val="24"/>
                <w:szCs w:val="24"/>
                <w:lang w:val="en-US" w:eastAsia="zh-CN"/>
              </w:rPr>
              <w:t>实施</w:t>
            </w:r>
            <w:r>
              <w:rPr>
                <w:rFonts w:hint="default" w:ascii="Times New Roman" w:hAnsi="Times New Roman" w:eastAsia="方正仿宋_GBK" w:cs="Times New Roman"/>
                <w:sz w:val="24"/>
                <w:szCs w:val="24"/>
              </w:rPr>
              <w:t>方案：包括代理机构内部管理方案、</w:t>
            </w:r>
            <w:r>
              <w:rPr>
                <w:rFonts w:hint="default" w:ascii="Times New Roman" w:hAnsi="Times New Roman" w:eastAsia="方正仿宋_GBK" w:cs="Times New Roman"/>
                <w:sz w:val="24"/>
                <w:szCs w:val="24"/>
                <w:lang w:val="en-US" w:eastAsia="zh-CN"/>
              </w:rPr>
              <w:t>质疑投诉</w:t>
            </w:r>
            <w:r>
              <w:rPr>
                <w:rFonts w:hint="default" w:ascii="Times New Roman" w:hAnsi="Times New Roman" w:eastAsia="方正仿宋_GBK" w:cs="Times New Roman"/>
                <w:sz w:val="24"/>
                <w:szCs w:val="24"/>
              </w:rPr>
              <w:t>解决机制、招标文件编制过程中特殊情况解决方案等内容。</w:t>
            </w:r>
          </w:p>
          <w:p w14:paraId="5ADA9DF0">
            <w:pPr>
              <w:keepNext w:val="0"/>
              <w:keepLines w:val="0"/>
              <w:pageBreakBefore w:val="0"/>
              <w:numPr>
                <w:ilvl w:val="0"/>
                <w:numId w:val="2"/>
              </w:numPr>
              <w:kinsoku/>
              <w:wordWrap/>
              <w:overflowPunct/>
              <w:topLinePunct w:val="0"/>
              <w:autoSpaceDE/>
              <w:autoSpaceDN/>
              <w:bidi w:val="0"/>
              <w:adjustRightInd/>
              <w:snapToGrid/>
              <w:spacing w:line="400" w:lineRule="exact"/>
              <w:ind w:left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代理项目基本操作程序：包括对</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前期准备阶段、</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lang w:eastAsia="zh-CN"/>
              </w:rPr>
              <w:t>响应</w:t>
            </w:r>
            <w:r>
              <w:rPr>
                <w:rFonts w:hint="default" w:ascii="Times New Roman" w:hAnsi="Times New Roman" w:eastAsia="方正仿宋_GBK" w:cs="Times New Roman"/>
                <w:sz w:val="24"/>
                <w:szCs w:val="24"/>
              </w:rPr>
              <w:t>阶段、开标评标阶段及</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完成后期阶段的具体操作程序、进度控制、节点控制、资料管理等方面。</w:t>
            </w:r>
          </w:p>
          <w:p w14:paraId="03211712">
            <w:pPr>
              <w:keepNext w:val="0"/>
              <w:keepLines w:val="0"/>
              <w:pageBreakBefore w:val="0"/>
              <w:numPr>
                <w:ilvl w:val="0"/>
                <w:numId w:val="2"/>
              </w:numPr>
              <w:kinsoku/>
              <w:wordWrap/>
              <w:overflowPunct/>
              <w:topLinePunct w:val="0"/>
              <w:autoSpaceDE/>
              <w:autoSpaceDN/>
              <w:bidi w:val="0"/>
              <w:adjustRightInd/>
              <w:snapToGrid/>
              <w:spacing w:line="400" w:lineRule="exact"/>
              <w:ind w:left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质量控制目标及措施：对项目</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工作质量保证措施、</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项目团队组成及各工作岗位职能与责任方面的阐述。</w:t>
            </w:r>
          </w:p>
          <w:p w14:paraId="05F49680">
            <w:pPr>
              <w:keepNext w:val="0"/>
              <w:keepLines w:val="0"/>
              <w:pageBreakBefore w:val="0"/>
              <w:numPr>
                <w:ilvl w:val="0"/>
                <w:numId w:val="2"/>
              </w:numPr>
              <w:kinsoku/>
              <w:wordWrap/>
              <w:overflowPunct/>
              <w:topLinePunct w:val="0"/>
              <w:autoSpaceDE/>
              <w:autoSpaceDN/>
              <w:bidi w:val="0"/>
              <w:adjustRightInd/>
              <w:snapToGrid/>
              <w:spacing w:line="400" w:lineRule="exact"/>
              <w:ind w:left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保密：对项目保密方案及措施、保密制度等方面进行阐述。</w:t>
            </w:r>
          </w:p>
          <w:p w14:paraId="73516A49">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方案优得2</w:t>
            </w:r>
            <w:r>
              <w:rPr>
                <w:rFonts w:hint="default" w:ascii="Times New Roman" w:hAnsi="Times New Roman" w:eastAsia="方正仿宋_GBK" w:cs="Times New Roman"/>
                <w:sz w:val="24"/>
                <w:szCs w:val="24"/>
                <w:lang w:val="en-US" w:eastAsia="zh-CN"/>
              </w:rPr>
              <w:t>0</w:t>
            </w:r>
            <w:r>
              <w:rPr>
                <w:rFonts w:hint="default" w:ascii="Times New Roman" w:hAnsi="Times New Roman" w:eastAsia="方正仿宋_GBK" w:cs="Times New Roman"/>
                <w:sz w:val="24"/>
                <w:szCs w:val="24"/>
              </w:rPr>
              <w:t>分，良得</w:t>
            </w:r>
            <w:r>
              <w:rPr>
                <w:rFonts w:hint="default" w:ascii="Times New Roman" w:hAnsi="Times New Roman" w:eastAsia="方正仿宋_GBK" w:cs="Times New Roman"/>
                <w:sz w:val="24"/>
                <w:szCs w:val="24"/>
                <w:lang w:val="en-US" w:eastAsia="zh-CN"/>
              </w:rPr>
              <w:t>15</w:t>
            </w:r>
            <w:r>
              <w:rPr>
                <w:rFonts w:hint="default" w:ascii="Times New Roman" w:hAnsi="Times New Roman" w:eastAsia="方正仿宋_GBK" w:cs="Times New Roman"/>
                <w:sz w:val="24"/>
                <w:szCs w:val="24"/>
              </w:rPr>
              <w:t>分，中得1</w:t>
            </w:r>
            <w:r>
              <w:rPr>
                <w:rFonts w:hint="default" w:ascii="Times New Roman" w:hAnsi="Times New Roman" w:eastAsia="方正仿宋_GBK" w:cs="Times New Roman"/>
                <w:sz w:val="24"/>
                <w:szCs w:val="24"/>
                <w:lang w:val="en-US" w:eastAsia="zh-CN"/>
              </w:rPr>
              <w:t>0</w:t>
            </w:r>
            <w:r>
              <w:rPr>
                <w:rFonts w:hint="default" w:ascii="Times New Roman" w:hAnsi="Times New Roman" w:eastAsia="方正仿宋_GBK" w:cs="Times New Roman"/>
                <w:sz w:val="24"/>
                <w:szCs w:val="24"/>
              </w:rPr>
              <w:t>分，差得</w:t>
            </w:r>
            <w:r>
              <w:rPr>
                <w:rFonts w:hint="default" w:ascii="Times New Roman" w:hAnsi="Times New Roman" w:eastAsia="方正仿宋_GBK" w:cs="Times New Roman"/>
                <w:sz w:val="24"/>
                <w:szCs w:val="24"/>
                <w:lang w:val="en-US" w:eastAsia="zh-CN"/>
              </w:rPr>
              <w:t>5</w:t>
            </w:r>
            <w:r>
              <w:rPr>
                <w:rFonts w:hint="default" w:ascii="Times New Roman" w:hAnsi="Times New Roman" w:eastAsia="方正仿宋_GBK" w:cs="Times New Roman"/>
                <w:sz w:val="24"/>
                <w:szCs w:val="24"/>
              </w:rPr>
              <w:t>分，不提供不得分。</w:t>
            </w:r>
          </w:p>
        </w:tc>
      </w:tr>
      <w:tr w14:paraId="10D4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90" w:hRule="atLeast"/>
        </w:trPr>
        <w:tc>
          <w:tcPr>
            <w:tcW w:w="430" w:type="pct"/>
            <w:vMerge w:val="continue"/>
            <w:shd w:val="clear" w:color="auto" w:fill="auto"/>
            <w:vAlign w:val="center"/>
          </w:tcPr>
          <w:p w14:paraId="2A6E780E">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rPr>
            </w:pPr>
          </w:p>
        </w:tc>
        <w:tc>
          <w:tcPr>
            <w:tcW w:w="531" w:type="pct"/>
            <w:shd w:val="clear" w:color="auto" w:fill="auto"/>
            <w:vAlign w:val="center"/>
          </w:tcPr>
          <w:p w14:paraId="01E0B261">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lang w:eastAsia="zh-CN"/>
              </w:rPr>
            </w:pPr>
            <w:r>
              <w:rPr>
                <w:rFonts w:hint="default" w:ascii="Times New Roman" w:hAnsi="Times New Roman" w:eastAsia="方正仿宋_GBK" w:cs="Times New Roman"/>
                <w:sz w:val="24"/>
                <w:szCs w:val="24"/>
                <w:highlight w:val="none"/>
              </w:rPr>
              <w:t>管理制度</w:t>
            </w:r>
            <w:r>
              <w:rPr>
                <w:rFonts w:hint="default" w:ascii="Times New Roman" w:hAnsi="Times New Roman" w:eastAsia="方正仿宋_GBK" w:cs="Times New Roman"/>
                <w:sz w:val="24"/>
                <w:szCs w:val="24"/>
                <w:highlight w:val="none"/>
                <w:lang w:eastAsia="zh-CN"/>
              </w:rPr>
              <w:t>（</w:t>
            </w:r>
            <w:r>
              <w:rPr>
                <w:rFonts w:hint="default" w:ascii="Times New Roman" w:hAnsi="Times New Roman" w:eastAsia="方正仿宋_GBK" w:cs="Times New Roman"/>
                <w:sz w:val="24"/>
                <w:szCs w:val="24"/>
                <w:highlight w:val="none"/>
                <w:lang w:val="en-US" w:eastAsia="zh-CN"/>
              </w:rPr>
              <w:t>20分</w:t>
            </w:r>
            <w:r>
              <w:rPr>
                <w:rFonts w:hint="default" w:ascii="Times New Roman" w:hAnsi="Times New Roman" w:eastAsia="方正仿宋_GBK" w:cs="Times New Roman"/>
                <w:sz w:val="24"/>
                <w:szCs w:val="24"/>
                <w:highlight w:val="none"/>
                <w:lang w:eastAsia="zh-CN"/>
              </w:rPr>
              <w:t>）</w:t>
            </w:r>
          </w:p>
        </w:tc>
        <w:tc>
          <w:tcPr>
            <w:tcW w:w="4037" w:type="pct"/>
            <w:shd w:val="clear" w:color="auto" w:fill="auto"/>
            <w:vAlign w:val="center"/>
          </w:tcPr>
          <w:p w14:paraId="612DF20A">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根据</w:t>
            </w:r>
            <w:r>
              <w:rPr>
                <w:rFonts w:hint="eastAsia" w:ascii="Times New Roman" w:hAnsi="Times New Roman" w:eastAsia="方正仿宋_GBK" w:cs="Times New Roman"/>
                <w:sz w:val="24"/>
                <w:szCs w:val="24"/>
                <w:lang w:val="en-US" w:eastAsia="zh-CN"/>
              </w:rPr>
              <w:t>响应</w:t>
            </w:r>
            <w:r>
              <w:rPr>
                <w:rFonts w:hint="default" w:ascii="Times New Roman" w:hAnsi="Times New Roman" w:eastAsia="方正仿宋_GBK" w:cs="Times New Roman"/>
                <w:sz w:val="24"/>
                <w:szCs w:val="24"/>
              </w:rPr>
              <w:t>人管理制度、人员岗位职责、操作规程、保密制度和档案管理等内部规章制度情况进行评审：</w:t>
            </w:r>
          </w:p>
          <w:p w14:paraId="7DE4F8B5">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制度</w:t>
            </w:r>
            <w:r>
              <w:rPr>
                <w:rFonts w:hint="default" w:ascii="Times New Roman" w:hAnsi="Times New Roman" w:eastAsia="方正仿宋_GBK" w:cs="Times New Roman"/>
                <w:sz w:val="24"/>
                <w:szCs w:val="24"/>
              </w:rPr>
              <w:t>优得2</w:t>
            </w:r>
            <w:r>
              <w:rPr>
                <w:rFonts w:hint="default" w:ascii="Times New Roman" w:hAnsi="Times New Roman" w:eastAsia="方正仿宋_GBK" w:cs="Times New Roman"/>
                <w:sz w:val="24"/>
                <w:szCs w:val="24"/>
                <w:lang w:val="en-US" w:eastAsia="zh-CN"/>
              </w:rPr>
              <w:t>0</w:t>
            </w:r>
            <w:r>
              <w:rPr>
                <w:rFonts w:hint="default" w:ascii="Times New Roman" w:hAnsi="Times New Roman" w:eastAsia="方正仿宋_GBK" w:cs="Times New Roman"/>
                <w:sz w:val="24"/>
                <w:szCs w:val="24"/>
              </w:rPr>
              <w:t>分，良得</w:t>
            </w:r>
            <w:r>
              <w:rPr>
                <w:rFonts w:hint="default" w:ascii="Times New Roman" w:hAnsi="Times New Roman" w:eastAsia="方正仿宋_GBK" w:cs="Times New Roman"/>
                <w:sz w:val="24"/>
                <w:szCs w:val="24"/>
                <w:lang w:val="en-US" w:eastAsia="zh-CN"/>
              </w:rPr>
              <w:t>15</w:t>
            </w:r>
            <w:r>
              <w:rPr>
                <w:rFonts w:hint="default" w:ascii="Times New Roman" w:hAnsi="Times New Roman" w:eastAsia="方正仿宋_GBK" w:cs="Times New Roman"/>
                <w:sz w:val="24"/>
                <w:szCs w:val="24"/>
              </w:rPr>
              <w:t>分，中得1</w:t>
            </w:r>
            <w:r>
              <w:rPr>
                <w:rFonts w:hint="default" w:ascii="Times New Roman" w:hAnsi="Times New Roman" w:eastAsia="方正仿宋_GBK" w:cs="Times New Roman"/>
                <w:sz w:val="24"/>
                <w:szCs w:val="24"/>
                <w:lang w:val="en-US" w:eastAsia="zh-CN"/>
              </w:rPr>
              <w:t>0</w:t>
            </w:r>
            <w:r>
              <w:rPr>
                <w:rFonts w:hint="default" w:ascii="Times New Roman" w:hAnsi="Times New Roman" w:eastAsia="方正仿宋_GBK" w:cs="Times New Roman"/>
                <w:sz w:val="24"/>
                <w:szCs w:val="24"/>
              </w:rPr>
              <w:t>分，差得</w:t>
            </w:r>
            <w:r>
              <w:rPr>
                <w:rFonts w:hint="default" w:ascii="Times New Roman" w:hAnsi="Times New Roman" w:eastAsia="方正仿宋_GBK" w:cs="Times New Roman"/>
                <w:sz w:val="24"/>
                <w:szCs w:val="24"/>
                <w:lang w:val="en-US" w:eastAsia="zh-CN"/>
              </w:rPr>
              <w:t>5</w:t>
            </w:r>
            <w:r>
              <w:rPr>
                <w:rFonts w:hint="default" w:ascii="Times New Roman" w:hAnsi="Times New Roman" w:eastAsia="方正仿宋_GBK" w:cs="Times New Roman"/>
                <w:sz w:val="24"/>
                <w:szCs w:val="24"/>
              </w:rPr>
              <w:t>分，不提供不得分。</w:t>
            </w:r>
          </w:p>
        </w:tc>
      </w:tr>
      <w:tr w14:paraId="03E5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30" w:type="pct"/>
            <w:shd w:val="clear" w:color="auto" w:fill="auto"/>
            <w:vAlign w:val="center"/>
          </w:tcPr>
          <w:p w14:paraId="5F2EE099">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lang w:eastAsia="zh-CN"/>
              </w:rPr>
            </w:pPr>
            <w:r>
              <w:rPr>
                <w:rFonts w:hint="default" w:ascii="Times New Roman" w:hAnsi="Times New Roman" w:eastAsia="方正仿宋_GBK" w:cs="Times New Roman"/>
                <w:sz w:val="24"/>
                <w:szCs w:val="24"/>
                <w:highlight w:val="none"/>
                <w:lang w:eastAsia="zh-CN"/>
              </w:rPr>
              <w:t>价格评分（20分）</w:t>
            </w:r>
          </w:p>
        </w:tc>
        <w:tc>
          <w:tcPr>
            <w:tcW w:w="531" w:type="pct"/>
            <w:shd w:val="clear" w:color="auto" w:fill="auto"/>
            <w:vAlign w:val="center"/>
          </w:tcPr>
          <w:p w14:paraId="284DC5BD">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价格</w:t>
            </w:r>
          </w:p>
          <w:p w14:paraId="52CA4A0F">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lang w:eastAsia="zh-CN"/>
              </w:rPr>
            </w:pPr>
            <w:r>
              <w:rPr>
                <w:rFonts w:hint="default" w:ascii="Times New Roman" w:hAnsi="Times New Roman" w:eastAsia="方正仿宋_GBK" w:cs="Times New Roman"/>
                <w:sz w:val="24"/>
                <w:szCs w:val="24"/>
                <w:highlight w:val="none"/>
              </w:rPr>
              <w:t>（20分）</w:t>
            </w:r>
          </w:p>
        </w:tc>
        <w:tc>
          <w:tcPr>
            <w:tcW w:w="4037" w:type="pct"/>
            <w:shd w:val="clear" w:color="auto" w:fill="auto"/>
            <w:vAlign w:val="center"/>
          </w:tcPr>
          <w:p w14:paraId="2EC965BD">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通过资格性和符合性审查且</w:t>
            </w:r>
            <w:r>
              <w:rPr>
                <w:rFonts w:hint="default" w:ascii="Times New Roman" w:hAnsi="Times New Roman" w:eastAsia="方正仿宋_GBK" w:cs="Times New Roman"/>
                <w:sz w:val="24"/>
                <w:szCs w:val="24"/>
                <w:highlight w:val="none"/>
                <w:lang w:val="en-US" w:eastAsia="zh-CN"/>
              </w:rPr>
              <w:t>折扣率最高者</w:t>
            </w:r>
            <w:r>
              <w:rPr>
                <w:rFonts w:hint="default" w:ascii="Times New Roman" w:hAnsi="Times New Roman" w:eastAsia="方正仿宋_GBK" w:cs="Times New Roman"/>
                <w:sz w:val="24"/>
                <w:szCs w:val="24"/>
                <w:highlight w:val="none"/>
              </w:rPr>
              <w:t>的评</w:t>
            </w:r>
            <w:r>
              <w:rPr>
                <w:rFonts w:hint="default" w:ascii="Times New Roman" w:hAnsi="Times New Roman" w:eastAsia="方正仿宋_GBK" w:cs="Times New Roman"/>
                <w:sz w:val="24"/>
                <w:szCs w:val="24"/>
                <w:highlight w:val="none"/>
                <w:lang w:val="en-US" w:eastAsia="zh-CN"/>
              </w:rPr>
              <w:t>审</w:t>
            </w:r>
            <w:r>
              <w:rPr>
                <w:rFonts w:hint="default" w:ascii="Times New Roman" w:hAnsi="Times New Roman" w:eastAsia="方正仿宋_GBK" w:cs="Times New Roman"/>
                <w:sz w:val="24"/>
                <w:szCs w:val="24"/>
                <w:highlight w:val="none"/>
              </w:rPr>
              <w:t>价为基准价，其价格评</w:t>
            </w:r>
            <w:r>
              <w:rPr>
                <w:rFonts w:hint="default" w:ascii="Times New Roman" w:hAnsi="Times New Roman" w:eastAsia="方正仿宋_GBK" w:cs="Times New Roman"/>
                <w:sz w:val="24"/>
                <w:szCs w:val="24"/>
                <w:highlight w:val="none"/>
                <w:lang w:val="en-US" w:eastAsia="zh-CN"/>
              </w:rPr>
              <w:t>审</w:t>
            </w:r>
            <w:r>
              <w:rPr>
                <w:rFonts w:hint="default" w:ascii="Times New Roman" w:hAnsi="Times New Roman" w:eastAsia="方正仿宋_GBK" w:cs="Times New Roman"/>
                <w:sz w:val="24"/>
                <w:szCs w:val="24"/>
                <w:highlight w:val="none"/>
              </w:rPr>
              <w:t>得分为</w:t>
            </w:r>
            <w:r>
              <w:rPr>
                <w:rFonts w:hint="default" w:ascii="Times New Roman" w:hAnsi="Times New Roman" w:eastAsia="方正仿宋_GBK" w:cs="Times New Roman"/>
                <w:sz w:val="24"/>
                <w:szCs w:val="24"/>
                <w:highlight w:val="none"/>
                <w:lang w:eastAsia="zh-CN"/>
              </w:rPr>
              <w:t>20</w:t>
            </w:r>
            <w:r>
              <w:rPr>
                <w:rFonts w:hint="default" w:ascii="Times New Roman" w:hAnsi="Times New Roman" w:eastAsia="方正仿宋_GBK" w:cs="Times New Roman"/>
                <w:sz w:val="24"/>
                <w:szCs w:val="24"/>
                <w:highlight w:val="none"/>
              </w:rPr>
              <w:t>分；其他</w:t>
            </w:r>
            <w:r>
              <w:rPr>
                <w:rFonts w:hint="default" w:ascii="Times New Roman" w:hAnsi="Times New Roman" w:eastAsia="方正仿宋_GBK" w:cs="Times New Roman"/>
                <w:sz w:val="24"/>
                <w:szCs w:val="24"/>
                <w:highlight w:val="none"/>
                <w:lang w:eastAsia="zh-CN"/>
              </w:rPr>
              <w:t>响应</w:t>
            </w:r>
            <w:r>
              <w:rPr>
                <w:rFonts w:hint="default" w:ascii="Times New Roman" w:hAnsi="Times New Roman" w:eastAsia="方正仿宋_GBK" w:cs="Times New Roman"/>
                <w:sz w:val="24"/>
                <w:szCs w:val="24"/>
                <w:highlight w:val="none"/>
                <w:lang w:val="en-US" w:eastAsia="zh-CN"/>
              </w:rPr>
              <w:t>代理机构</w:t>
            </w:r>
            <w:r>
              <w:rPr>
                <w:rFonts w:hint="default" w:ascii="Times New Roman" w:hAnsi="Times New Roman" w:eastAsia="方正仿宋_GBK" w:cs="Times New Roman"/>
                <w:sz w:val="24"/>
                <w:szCs w:val="24"/>
                <w:highlight w:val="none"/>
              </w:rPr>
              <w:t>的价格评</w:t>
            </w:r>
            <w:r>
              <w:rPr>
                <w:rFonts w:hint="default" w:ascii="Times New Roman" w:hAnsi="Times New Roman" w:eastAsia="方正仿宋_GBK" w:cs="Times New Roman"/>
                <w:sz w:val="24"/>
                <w:szCs w:val="24"/>
                <w:highlight w:val="none"/>
                <w:lang w:val="en-US" w:eastAsia="zh-CN"/>
              </w:rPr>
              <w:t>审</w:t>
            </w:r>
            <w:r>
              <w:rPr>
                <w:rFonts w:hint="default" w:ascii="Times New Roman" w:hAnsi="Times New Roman" w:eastAsia="方正仿宋_GBK" w:cs="Times New Roman"/>
                <w:sz w:val="24"/>
                <w:szCs w:val="24"/>
                <w:highlight w:val="none"/>
              </w:rPr>
              <w:t>得分按如下公式计算：</w:t>
            </w:r>
          </w:p>
          <w:p w14:paraId="3387633A">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eastAsia="zh-CN"/>
              </w:rPr>
              <w:t>响应</w:t>
            </w:r>
            <w:r>
              <w:rPr>
                <w:rFonts w:hint="default" w:ascii="Times New Roman" w:hAnsi="Times New Roman" w:eastAsia="方正仿宋_GBK" w:cs="Times New Roman"/>
                <w:sz w:val="24"/>
                <w:szCs w:val="24"/>
                <w:highlight w:val="none"/>
              </w:rPr>
              <w:t>报价得分=</w:t>
            </w:r>
            <w:r>
              <w:rPr>
                <w:rFonts w:hint="default" w:ascii="Times New Roman" w:hAnsi="Times New Roman" w:eastAsia="方正仿宋_GBK" w:cs="Times New Roman"/>
                <w:sz w:val="24"/>
                <w:szCs w:val="24"/>
                <w:highlight w:val="none"/>
                <w:lang w:eastAsia="zh-CN"/>
              </w:rPr>
              <w:t>（</w:t>
            </w:r>
            <w:r>
              <w:rPr>
                <w:rFonts w:hint="default" w:ascii="Times New Roman" w:hAnsi="Times New Roman" w:eastAsia="方正仿宋_GBK" w:cs="Times New Roman"/>
                <w:sz w:val="24"/>
                <w:szCs w:val="24"/>
                <w:highlight w:val="none"/>
                <w:lang w:val="en-US" w:eastAsia="zh-CN"/>
              </w:rPr>
              <w:t>基准折扣率</w:t>
            </w:r>
            <w:r>
              <w:rPr>
                <w:rFonts w:hint="default" w:ascii="Times New Roman" w:hAnsi="Times New Roman" w:eastAsia="方正仿宋_GBK" w:cs="Times New Roman"/>
                <w:sz w:val="24"/>
                <w:szCs w:val="24"/>
                <w:highlight w:val="none"/>
              </w:rPr>
              <w:t>/</w:t>
            </w:r>
            <w:r>
              <w:rPr>
                <w:rFonts w:hint="default" w:ascii="Times New Roman" w:hAnsi="Times New Roman" w:eastAsia="方正仿宋_GBK" w:cs="Times New Roman"/>
                <w:sz w:val="24"/>
                <w:szCs w:val="24"/>
                <w:highlight w:val="none"/>
                <w:lang w:val="en-US" w:eastAsia="zh-CN"/>
              </w:rPr>
              <w:t>响应折扣率</w:t>
            </w:r>
            <w:r>
              <w:rPr>
                <w:rFonts w:hint="default" w:ascii="Times New Roman" w:hAnsi="Times New Roman" w:eastAsia="方正仿宋_GBK" w:cs="Times New Roman"/>
                <w:sz w:val="24"/>
                <w:szCs w:val="24"/>
                <w:highlight w:val="none"/>
              </w:rPr>
              <w:t>）×价格分值</w:t>
            </w:r>
          </w:p>
        </w:tc>
      </w:tr>
    </w:tbl>
    <w:p w14:paraId="46FDBC89">
      <w:pPr>
        <w:widowControl/>
        <w:shd w:val="clear" w:color="auto" w:fill="auto"/>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四、采购文件获取</w:t>
      </w:r>
    </w:p>
    <w:p w14:paraId="3FF2DE15">
      <w:pPr>
        <w:ind w:left="0" w:leftChars="0" w:firstLine="419" w:firstLineChars="131"/>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1.请响应人于</w:t>
      </w:r>
      <w:r>
        <w:rPr>
          <w:rFonts w:hint="eastAsia" w:ascii="仿宋" w:hAnsi="仿宋" w:eastAsia="仿宋" w:cs="仿宋"/>
          <w:b w:val="0"/>
          <w:bCs w:val="0"/>
          <w:sz w:val="32"/>
          <w:szCs w:val="32"/>
          <w:highlight w:val="yellow"/>
          <w:lang w:val="en-US" w:eastAsia="zh-CN"/>
        </w:rPr>
        <w:t>2025年10月13日8时30分至2025年10月17日17时30分</w:t>
      </w:r>
      <w:r>
        <w:rPr>
          <w:rFonts w:hint="eastAsia" w:ascii="仿宋" w:hAnsi="仿宋" w:eastAsia="仿宋" w:cs="仿宋"/>
          <w:b w:val="0"/>
          <w:bCs w:val="0"/>
          <w:sz w:val="32"/>
          <w:szCs w:val="32"/>
          <w:highlight w:val="none"/>
          <w:lang w:val="en-US" w:eastAsia="zh-CN"/>
        </w:rPr>
        <w:t>（北京时间，下同），通过江门市采购行业协会（请前往“江门市采购行业协会”，网址：http://www.jmcgxh.org.cn），提取，并致电通知确认，联系人：张小姐；联系方式：0750-3081185。完成上述要求报名，本项目的报名方可成功。</w:t>
      </w:r>
    </w:p>
    <w:p w14:paraId="67170F33">
      <w:pPr>
        <w:widowControl/>
        <w:shd w:val="clear" w:color="auto" w:fill="auto"/>
        <w:spacing w:line="600" w:lineRule="exact"/>
        <w:ind w:firstLine="643" w:firstLineChars="200"/>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val="en-US" w:eastAsia="zh-CN"/>
        </w:rPr>
        <w:t>五、</w:t>
      </w:r>
      <w:r>
        <w:rPr>
          <w:rFonts w:hint="eastAsia" w:ascii="仿宋" w:hAnsi="仿宋" w:eastAsia="仿宋" w:cs="仿宋"/>
          <w:b/>
          <w:bCs/>
          <w:sz w:val="32"/>
          <w:szCs w:val="32"/>
          <w:highlight w:val="none"/>
          <w:lang w:eastAsia="zh-CN"/>
        </w:rPr>
        <w:t>响应文件的组成及接收截止时间、地点</w:t>
      </w:r>
    </w:p>
    <w:p w14:paraId="28E40275">
      <w:pPr>
        <w:shd w:val="clear" w:color="auto" w:fill="auto"/>
        <w:spacing w:line="6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（一）</w:t>
      </w:r>
      <w:r>
        <w:rPr>
          <w:rFonts w:hint="eastAsia" w:ascii="仿宋" w:hAnsi="仿宋" w:eastAsia="仿宋" w:cs="仿宋"/>
          <w:sz w:val="32"/>
          <w:szCs w:val="32"/>
          <w:highlight w:val="none"/>
          <w:lang w:eastAsia="zh-CN"/>
        </w:rPr>
        <w:t>响应文件</w:t>
      </w:r>
      <w:r>
        <w:rPr>
          <w:rFonts w:hint="eastAsia" w:ascii="仿宋" w:hAnsi="仿宋" w:eastAsia="仿宋" w:cs="仿宋"/>
          <w:sz w:val="32"/>
          <w:szCs w:val="32"/>
          <w:highlight w:val="none"/>
        </w:rPr>
        <w:t>的组成</w:t>
      </w:r>
    </w:p>
    <w:p w14:paraId="22EE8E9E">
      <w:pPr>
        <w:shd w:val="clear" w:color="auto" w:fill="auto"/>
        <w:spacing w:line="6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eastAsia="zh-CN"/>
        </w:rPr>
        <w:t>1.</w:t>
      </w:r>
      <w:r>
        <w:rPr>
          <w:rFonts w:hint="eastAsia" w:ascii="仿宋" w:hAnsi="仿宋" w:eastAsia="仿宋" w:cs="仿宋"/>
          <w:sz w:val="32"/>
          <w:szCs w:val="32"/>
          <w:highlight w:val="none"/>
        </w:rPr>
        <w:t>报价单；</w:t>
      </w:r>
    </w:p>
    <w:p w14:paraId="0494ED60">
      <w:pPr>
        <w:shd w:val="clear" w:color="auto" w:fill="auto"/>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2.</w:t>
      </w:r>
      <w:r>
        <w:rPr>
          <w:rFonts w:hint="eastAsia" w:ascii="仿宋" w:hAnsi="仿宋" w:eastAsia="仿宋" w:cs="仿宋"/>
          <w:sz w:val="32"/>
          <w:szCs w:val="32"/>
          <w:highlight w:val="none"/>
          <w:lang w:val="en-US" w:eastAsia="zh-CN"/>
        </w:rPr>
        <w:t>资格性及符合性证明文件</w:t>
      </w:r>
      <w:r>
        <w:rPr>
          <w:rFonts w:hint="eastAsia" w:ascii="仿宋" w:hAnsi="仿宋" w:eastAsia="仿宋" w:cs="仿宋"/>
          <w:sz w:val="32"/>
          <w:szCs w:val="32"/>
          <w:highlight w:val="none"/>
        </w:rPr>
        <w:t>；</w:t>
      </w:r>
    </w:p>
    <w:p w14:paraId="45085F8F">
      <w:pPr>
        <w:shd w:val="clear" w:color="auto" w:fill="auto"/>
        <w:spacing w:line="600"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3.技术及商务响应方案等；</w:t>
      </w:r>
    </w:p>
    <w:p w14:paraId="03B2E2D9">
      <w:pPr>
        <w:shd w:val="clear" w:color="auto" w:fill="auto"/>
        <w:spacing w:line="6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注：以上文件均需加盖单位公章，缺一不可；</w:t>
      </w:r>
      <w:r>
        <w:rPr>
          <w:rFonts w:hint="eastAsia" w:ascii="仿宋" w:hAnsi="仿宋" w:eastAsia="仿宋" w:cs="仿宋"/>
          <w:sz w:val="32"/>
          <w:szCs w:val="32"/>
          <w:highlight w:val="none"/>
          <w:lang w:eastAsia="zh-CN"/>
        </w:rPr>
        <w:t>响应文件</w:t>
      </w:r>
      <w:r>
        <w:rPr>
          <w:rFonts w:hint="eastAsia" w:ascii="仿宋" w:hAnsi="仿宋" w:eastAsia="仿宋" w:cs="仿宋"/>
          <w:sz w:val="32"/>
          <w:szCs w:val="32"/>
          <w:highlight w:val="none"/>
          <w:lang w:val="en-US" w:eastAsia="zh-CN"/>
        </w:rPr>
        <w:t>正本一份、副本两份、U盘电子版一份</w:t>
      </w:r>
      <w:r>
        <w:rPr>
          <w:rFonts w:hint="eastAsia" w:ascii="仿宋" w:hAnsi="仿宋" w:eastAsia="仿宋" w:cs="仿宋"/>
          <w:sz w:val="32"/>
          <w:szCs w:val="32"/>
          <w:highlight w:val="none"/>
        </w:rPr>
        <w:t>，需用信封密封，在密封袋上标明项目编号、项目名称、</w:t>
      </w:r>
      <w:r>
        <w:rPr>
          <w:rFonts w:hint="eastAsia" w:ascii="仿宋" w:hAnsi="仿宋" w:eastAsia="仿宋" w:cs="仿宋"/>
          <w:sz w:val="32"/>
          <w:szCs w:val="32"/>
          <w:highlight w:val="none"/>
          <w:lang w:val="en-US" w:eastAsia="zh-CN"/>
        </w:rPr>
        <w:t>响</w:t>
      </w:r>
      <w:r>
        <w:rPr>
          <w:rFonts w:hint="eastAsia" w:ascii="仿宋" w:hAnsi="仿宋" w:eastAsia="仿宋" w:cs="仿宋"/>
          <w:sz w:val="32"/>
          <w:szCs w:val="32"/>
          <w:highlight w:val="none"/>
        </w:rPr>
        <w:t>应人名称，密封袋两头封口处均需贴封条</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加盖公章。</w:t>
      </w:r>
    </w:p>
    <w:p w14:paraId="6794C62B">
      <w:pPr>
        <w:widowControl/>
        <w:shd w:val="clear" w:color="auto" w:fill="auto"/>
        <w:spacing w:line="600" w:lineRule="exact"/>
        <w:ind w:firstLine="640" w:firstLineChars="200"/>
        <w:rPr>
          <w:rFonts w:ascii="仿宋" w:hAnsi="仿宋" w:eastAsia="仿宋" w:cs="仿宋"/>
          <w:bCs/>
          <w:kern w:val="0"/>
          <w:sz w:val="32"/>
          <w:szCs w:val="32"/>
          <w:highlight w:val="none"/>
        </w:rPr>
      </w:pPr>
      <w:r>
        <w:rPr>
          <w:rFonts w:hint="eastAsia" w:ascii="仿宋" w:hAnsi="仿宋" w:eastAsia="仿宋" w:cs="仿宋"/>
          <w:sz w:val="32"/>
          <w:szCs w:val="32"/>
          <w:highlight w:val="none"/>
        </w:rPr>
        <w:t>（二）</w:t>
      </w:r>
      <w:r>
        <w:rPr>
          <w:rFonts w:hint="eastAsia" w:ascii="仿宋" w:hAnsi="仿宋" w:eastAsia="仿宋" w:cs="仿宋"/>
          <w:sz w:val="32"/>
          <w:szCs w:val="32"/>
          <w:highlight w:val="none"/>
          <w:lang w:eastAsia="zh-CN"/>
        </w:rPr>
        <w:t>响应文件</w:t>
      </w:r>
      <w:r>
        <w:rPr>
          <w:rFonts w:hint="eastAsia" w:ascii="仿宋" w:hAnsi="仿宋" w:eastAsia="仿宋" w:cs="仿宋"/>
          <w:bCs/>
          <w:kern w:val="0"/>
          <w:sz w:val="32"/>
          <w:szCs w:val="32"/>
          <w:highlight w:val="none"/>
        </w:rPr>
        <w:t>接收截止时间、地点</w:t>
      </w:r>
    </w:p>
    <w:p w14:paraId="4DCB3273">
      <w:pPr>
        <w:shd w:val="clear" w:color="auto" w:fill="auto"/>
        <w:spacing w:line="600" w:lineRule="exact"/>
        <w:ind w:firstLine="640" w:firstLineChars="200"/>
        <w:rPr>
          <w:rFonts w:hint="eastAsia" w:ascii="仿宋" w:hAnsi="仿宋" w:eastAsia="仿宋" w:cs="仿宋"/>
          <w:sz w:val="32"/>
          <w:szCs w:val="32"/>
          <w:highlight w:val="yellow"/>
        </w:rPr>
      </w:pPr>
      <w:r>
        <w:rPr>
          <w:rFonts w:hint="eastAsia" w:ascii="仿宋" w:hAnsi="仿宋" w:eastAsia="仿宋" w:cs="仿宋"/>
          <w:sz w:val="32"/>
          <w:szCs w:val="32"/>
          <w:highlight w:val="none"/>
          <w:lang w:eastAsia="zh-CN"/>
        </w:rPr>
        <w:t>1.</w:t>
      </w:r>
      <w:r>
        <w:rPr>
          <w:rFonts w:hint="eastAsia" w:ascii="仿宋" w:hAnsi="仿宋" w:eastAsia="仿宋" w:cs="仿宋"/>
          <w:sz w:val="32"/>
          <w:szCs w:val="32"/>
          <w:highlight w:val="none"/>
        </w:rPr>
        <w:t>接收截止时间：</w:t>
      </w:r>
      <w:r>
        <w:rPr>
          <w:rFonts w:hint="eastAsia" w:ascii="仿宋" w:hAnsi="仿宋" w:eastAsia="仿宋" w:cs="仿宋"/>
          <w:sz w:val="32"/>
          <w:szCs w:val="32"/>
          <w:highlight w:val="yellow"/>
        </w:rPr>
        <w:t>202</w:t>
      </w:r>
      <w:r>
        <w:rPr>
          <w:rFonts w:hint="eastAsia" w:ascii="仿宋" w:hAnsi="仿宋" w:eastAsia="仿宋" w:cs="仿宋"/>
          <w:sz w:val="32"/>
          <w:szCs w:val="32"/>
          <w:highlight w:val="yellow"/>
          <w:lang w:val="en-US" w:eastAsia="zh-CN"/>
        </w:rPr>
        <w:t>5</w:t>
      </w:r>
      <w:r>
        <w:rPr>
          <w:rFonts w:hint="eastAsia" w:ascii="仿宋" w:hAnsi="仿宋" w:eastAsia="仿宋" w:cs="仿宋"/>
          <w:sz w:val="32"/>
          <w:szCs w:val="32"/>
          <w:highlight w:val="yellow"/>
        </w:rPr>
        <w:t>年</w:t>
      </w:r>
      <w:r>
        <w:rPr>
          <w:rFonts w:hint="eastAsia" w:ascii="仿宋" w:hAnsi="仿宋" w:eastAsia="仿宋" w:cs="仿宋"/>
          <w:sz w:val="32"/>
          <w:szCs w:val="32"/>
          <w:highlight w:val="yellow"/>
          <w:lang w:val="en-US" w:eastAsia="zh-CN"/>
        </w:rPr>
        <w:t>10</w:t>
      </w:r>
      <w:r>
        <w:rPr>
          <w:rFonts w:hint="eastAsia" w:ascii="仿宋" w:hAnsi="仿宋" w:eastAsia="仿宋" w:cs="仿宋"/>
          <w:sz w:val="32"/>
          <w:szCs w:val="32"/>
          <w:highlight w:val="yellow"/>
        </w:rPr>
        <w:t>月</w:t>
      </w:r>
      <w:r>
        <w:rPr>
          <w:rFonts w:hint="eastAsia" w:ascii="仿宋" w:hAnsi="仿宋" w:eastAsia="仿宋" w:cs="仿宋"/>
          <w:sz w:val="32"/>
          <w:szCs w:val="32"/>
          <w:highlight w:val="yellow"/>
          <w:lang w:val="en-US" w:eastAsia="zh-CN"/>
        </w:rPr>
        <w:t>17</w:t>
      </w:r>
      <w:r>
        <w:rPr>
          <w:rFonts w:hint="eastAsia" w:ascii="仿宋" w:hAnsi="仿宋" w:eastAsia="仿宋" w:cs="仿宋"/>
          <w:sz w:val="32"/>
          <w:szCs w:val="32"/>
          <w:highlight w:val="yellow"/>
        </w:rPr>
        <w:t>日</w:t>
      </w:r>
      <w:r>
        <w:rPr>
          <w:rFonts w:hint="eastAsia" w:ascii="仿宋" w:hAnsi="仿宋" w:eastAsia="仿宋" w:cs="仿宋"/>
          <w:sz w:val="32"/>
          <w:szCs w:val="32"/>
          <w:highlight w:val="yellow"/>
          <w:lang w:val="en-US" w:eastAsia="zh-CN"/>
        </w:rPr>
        <w:t>北京时间</w:t>
      </w:r>
      <w:r>
        <w:rPr>
          <w:rFonts w:hint="eastAsia" w:ascii="仿宋" w:hAnsi="仿宋" w:eastAsia="仿宋" w:cs="仿宋"/>
          <w:b w:val="0"/>
          <w:bCs w:val="0"/>
          <w:sz w:val="32"/>
          <w:szCs w:val="32"/>
          <w:highlight w:val="yellow"/>
          <w:lang w:val="en-US" w:eastAsia="zh-CN"/>
        </w:rPr>
        <w:t>17时30分</w:t>
      </w:r>
      <w:r>
        <w:rPr>
          <w:rFonts w:hint="eastAsia" w:ascii="仿宋" w:hAnsi="仿宋" w:eastAsia="仿宋" w:cs="仿宋"/>
          <w:sz w:val="32"/>
          <w:szCs w:val="32"/>
          <w:highlight w:val="yellow"/>
        </w:rPr>
        <w:t>；</w:t>
      </w:r>
    </w:p>
    <w:p w14:paraId="112C4010">
      <w:pPr>
        <w:shd w:val="clear" w:color="auto" w:fill="auto"/>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响应文件递交地址：江门市蓬江区建设路42号二至五层，联系人：</w:t>
      </w:r>
      <w:r>
        <w:rPr>
          <w:rFonts w:hint="eastAsia" w:ascii="仿宋" w:hAnsi="仿宋" w:eastAsia="仿宋" w:cs="仿宋"/>
          <w:sz w:val="32"/>
          <w:szCs w:val="32"/>
          <w:highlight w:val="none"/>
          <w:lang w:val="en-US" w:eastAsia="zh-CN"/>
        </w:rPr>
        <w:t>张小姐</w:t>
      </w:r>
      <w:r>
        <w:rPr>
          <w:rFonts w:hint="eastAsia" w:ascii="仿宋" w:hAnsi="仿宋" w:eastAsia="仿宋" w:cs="仿宋"/>
          <w:sz w:val="32"/>
          <w:szCs w:val="32"/>
          <w:highlight w:val="none"/>
        </w:rPr>
        <w:t>/0750-3081185(工作时间:工作日8:30-12:00，14:30-17:30)。</w:t>
      </w:r>
    </w:p>
    <w:p w14:paraId="51BEDBD3">
      <w:pPr>
        <w:shd w:val="clear" w:color="auto" w:fill="auto"/>
        <w:spacing w:line="6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w:t>
      </w:r>
      <w:r>
        <w:rPr>
          <w:rFonts w:hint="eastAsia" w:ascii="仿宋" w:hAnsi="仿宋" w:eastAsia="仿宋"/>
          <w:sz w:val="32"/>
          <w:szCs w:val="32"/>
          <w:highlight w:val="none"/>
        </w:rPr>
        <w:t>递交方式：响应文件可以现场递交，邮寄、快递方式需要在响应文件截止时间前，确保采购方签收。</w:t>
      </w:r>
    </w:p>
    <w:p w14:paraId="73A7A9E7">
      <w:pPr>
        <w:widowControl/>
        <w:shd w:val="clear" w:color="auto" w:fill="auto"/>
        <w:spacing w:line="600" w:lineRule="exact"/>
        <w:ind w:firstLine="643" w:firstLineChars="200"/>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五、联系方式</w:t>
      </w:r>
    </w:p>
    <w:p w14:paraId="7C2BAD36">
      <w:pPr>
        <w:numPr>
          <w:ilvl w:val="0"/>
          <w:numId w:val="3"/>
        </w:numPr>
        <w:shd w:val="clear" w:color="auto" w:fill="auto"/>
        <w:spacing w:line="600" w:lineRule="exact"/>
        <w:ind w:firstLine="420" w:firstLineChars="0"/>
        <w:rPr>
          <w:rFonts w:ascii="仿宋" w:hAnsi="仿宋" w:eastAsia="仿宋" w:cs="仿宋"/>
          <w:sz w:val="32"/>
          <w:szCs w:val="32"/>
          <w:highlight w:val="none"/>
        </w:rPr>
      </w:pPr>
      <w:r>
        <w:rPr>
          <w:rFonts w:hint="eastAsia" w:ascii="仿宋" w:hAnsi="仿宋" w:eastAsia="仿宋" w:cs="仿宋"/>
          <w:sz w:val="32"/>
          <w:szCs w:val="32"/>
          <w:highlight w:val="none"/>
        </w:rPr>
        <w:t>联系人：</w:t>
      </w:r>
      <w:r>
        <w:rPr>
          <w:rFonts w:hint="eastAsia" w:ascii="仿宋" w:hAnsi="仿宋" w:eastAsia="仿宋" w:cs="仿宋"/>
          <w:sz w:val="32"/>
          <w:szCs w:val="32"/>
          <w:highlight w:val="none"/>
          <w:lang w:val="en-US" w:eastAsia="zh-CN"/>
        </w:rPr>
        <w:t>张小姐</w:t>
      </w:r>
      <w:r>
        <w:rPr>
          <w:rFonts w:hint="eastAsia" w:ascii="仿宋" w:hAnsi="仿宋" w:eastAsia="仿宋" w:cs="仿宋"/>
          <w:sz w:val="32"/>
          <w:szCs w:val="32"/>
          <w:highlight w:val="none"/>
        </w:rPr>
        <w:t>；</w:t>
      </w:r>
    </w:p>
    <w:p w14:paraId="56907A80">
      <w:pPr>
        <w:numPr>
          <w:ilvl w:val="0"/>
          <w:numId w:val="3"/>
        </w:numPr>
        <w:shd w:val="clear" w:color="auto" w:fill="auto"/>
        <w:spacing w:line="600" w:lineRule="exact"/>
        <w:ind w:firstLine="420" w:firstLineChars="0"/>
        <w:rPr>
          <w:rFonts w:hint="eastAsia" w:ascii="仿宋" w:hAnsi="仿宋" w:eastAsia="仿宋" w:cs="仿宋"/>
          <w:sz w:val="32"/>
          <w:szCs w:val="32"/>
          <w:highlight w:val="none"/>
        </w:rPr>
      </w:pPr>
      <w:r>
        <w:rPr>
          <w:rFonts w:hint="eastAsia" w:ascii="仿宋" w:hAnsi="仿宋" w:eastAsia="仿宋" w:cs="仿宋"/>
          <w:sz w:val="32"/>
          <w:szCs w:val="32"/>
          <w:highlight w:val="none"/>
        </w:rPr>
        <w:t>联系电话：0750-308</w:t>
      </w:r>
      <w:r>
        <w:rPr>
          <w:rFonts w:hint="eastAsia" w:ascii="仿宋" w:hAnsi="仿宋" w:eastAsia="仿宋" w:cs="仿宋"/>
          <w:sz w:val="32"/>
          <w:szCs w:val="32"/>
          <w:highlight w:val="none"/>
          <w:lang w:val="en-US" w:eastAsia="zh-CN"/>
        </w:rPr>
        <w:t>1185（</w:t>
      </w:r>
      <w:r>
        <w:rPr>
          <w:rFonts w:hint="eastAsia" w:ascii="仿宋" w:hAnsi="仿宋" w:eastAsia="仿宋" w:cs="仿宋"/>
          <w:sz w:val="32"/>
          <w:szCs w:val="32"/>
          <w:highlight w:val="none"/>
        </w:rPr>
        <w:t>工作时间</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工作日8:30-12:00，14:30-18:00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p>
    <w:p w14:paraId="615681AD">
      <w:pPr>
        <w:numPr>
          <w:ilvl w:val="0"/>
          <w:numId w:val="3"/>
        </w:numPr>
        <w:shd w:val="clear" w:color="auto" w:fill="auto"/>
        <w:spacing w:line="600" w:lineRule="exact"/>
        <w:ind w:firstLine="420" w:firstLineChars="0"/>
        <w:rPr>
          <w:rFonts w:ascii="仿宋" w:hAnsi="仿宋" w:eastAsia="仿宋" w:cs="仿宋"/>
          <w:sz w:val="32"/>
          <w:szCs w:val="32"/>
          <w:highlight w:val="none"/>
        </w:rPr>
      </w:pPr>
      <w:r>
        <w:rPr>
          <w:rFonts w:hint="eastAsia" w:ascii="仿宋" w:hAnsi="仿宋" w:eastAsia="仿宋" w:cs="仿宋"/>
          <w:sz w:val="32"/>
          <w:szCs w:val="32"/>
          <w:highlight w:val="none"/>
        </w:rPr>
        <w:t>联系地址：</w:t>
      </w:r>
      <w:r>
        <w:rPr>
          <w:rFonts w:hint="eastAsia" w:ascii="仿宋" w:hAnsi="仿宋" w:eastAsia="仿宋" w:cs="仿宋"/>
          <w:sz w:val="32"/>
          <w:szCs w:val="32"/>
          <w:highlight w:val="none"/>
          <w:lang w:eastAsia="zh-CN"/>
        </w:rPr>
        <w:t>广东省江门市蓬江区建设路42号</w:t>
      </w:r>
      <w:r>
        <w:rPr>
          <w:rFonts w:hint="eastAsia" w:ascii="仿宋" w:hAnsi="仿宋" w:eastAsia="仿宋" w:cs="仿宋"/>
          <w:sz w:val="32"/>
          <w:szCs w:val="32"/>
          <w:highlight w:val="none"/>
          <w:lang w:val="en-US" w:eastAsia="zh-CN"/>
        </w:rPr>
        <w:t>二至五层</w:t>
      </w:r>
      <w:r>
        <w:rPr>
          <w:rFonts w:hint="eastAsia" w:ascii="仿宋" w:hAnsi="仿宋" w:eastAsia="仿宋" w:cs="仿宋"/>
          <w:sz w:val="32"/>
          <w:szCs w:val="32"/>
          <w:highlight w:val="none"/>
        </w:rPr>
        <w:t>，数字江门网络建设有限公司。</w:t>
      </w:r>
    </w:p>
    <w:p w14:paraId="439E84D1">
      <w:pPr>
        <w:shd w:val="clear" w:color="auto" w:fill="auto"/>
        <w:spacing w:line="600" w:lineRule="exact"/>
        <w:ind w:firstLine="640" w:firstLineChars="200"/>
        <w:rPr>
          <w:rFonts w:ascii="仿宋" w:hAnsi="仿宋" w:eastAsia="仿宋" w:cs="仿宋"/>
          <w:sz w:val="32"/>
          <w:szCs w:val="32"/>
          <w:highlight w:val="none"/>
        </w:rPr>
      </w:pPr>
    </w:p>
    <w:p w14:paraId="4AE8AE3D">
      <w:pPr>
        <w:widowControl/>
        <w:shd w:val="clear" w:color="auto" w:fill="auto"/>
        <w:spacing w:line="600" w:lineRule="exact"/>
        <w:ind w:firstLine="3840" w:firstLineChars="1200"/>
        <w:rPr>
          <w:rFonts w:ascii="仿宋" w:hAnsi="仿宋" w:eastAsia="仿宋" w:cs="仿宋"/>
          <w:sz w:val="32"/>
          <w:szCs w:val="32"/>
          <w:highlight w:val="none"/>
        </w:rPr>
      </w:pPr>
      <w:r>
        <w:rPr>
          <w:rFonts w:hint="eastAsia" w:ascii="仿宋" w:hAnsi="仿宋" w:eastAsia="仿宋" w:cs="仿宋"/>
          <w:sz w:val="32"/>
          <w:szCs w:val="32"/>
          <w:highlight w:val="none"/>
        </w:rPr>
        <w:t>数字江门网络建设有限公司</w:t>
      </w:r>
    </w:p>
    <w:p w14:paraId="57E56597">
      <w:pPr>
        <w:widowControl/>
        <w:shd w:val="clear" w:color="auto" w:fill="auto"/>
        <w:spacing w:line="600" w:lineRule="exact"/>
        <w:ind w:firstLine="4480" w:firstLineChars="1400"/>
        <w:rPr>
          <w:rFonts w:hint="eastAsia" w:ascii="仿宋" w:hAnsi="仿宋" w:eastAsia="仿宋" w:cs="仿宋"/>
          <w:sz w:val="32"/>
          <w:szCs w:val="32"/>
          <w:highlight w:val="none"/>
        </w:rPr>
      </w:pPr>
      <w:r>
        <w:rPr>
          <w:rFonts w:hint="eastAsia" w:ascii="仿宋" w:hAnsi="仿宋" w:eastAsia="仿宋" w:cs="仿宋"/>
          <w:sz w:val="32"/>
          <w:szCs w:val="32"/>
          <w:highlight w:val="yellow"/>
          <w:shd w:val="clear" w:color="auto" w:fill="auto"/>
        </w:rPr>
        <w:t>202</w:t>
      </w:r>
      <w:r>
        <w:rPr>
          <w:rFonts w:hint="eastAsia" w:ascii="仿宋" w:hAnsi="仿宋" w:eastAsia="仿宋" w:cs="仿宋"/>
          <w:sz w:val="32"/>
          <w:szCs w:val="32"/>
          <w:highlight w:val="yellow"/>
          <w:shd w:val="clear" w:color="auto" w:fill="auto"/>
          <w:lang w:val="en-US" w:eastAsia="zh-CN"/>
        </w:rPr>
        <w:t>5</w:t>
      </w:r>
      <w:r>
        <w:rPr>
          <w:rFonts w:hint="eastAsia" w:ascii="仿宋" w:hAnsi="仿宋" w:eastAsia="仿宋" w:cs="仿宋"/>
          <w:sz w:val="32"/>
          <w:szCs w:val="32"/>
          <w:highlight w:val="yellow"/>
          <w:shd w:val="clear" w:color="auto" w:fill="auto"/>
        </w:rPr>
        <w:t>年</w:t>
      </w:r>
      <w:r>
        <w:rPr>
          <w:rFonts w:hint="eastAsia" w:ascii="仿宋" w:hAnsi="仿宋" w:eastAsia="仿宋" w:cs="仿宋"/>
          <w:sz w:val="32"/>
          <w:szCs w:val="32"/>
          <w:highlight w:val="yellow"/>
          <w:shd w:val="clear" w:color="auto" w:fill="auto"/>
          <w:lang w:val="en-US" w:eastAsia="zh-CN"/>
        </w:rPr>
        <w:t>10</w:t>
      </w:r>
      <w:r>
        <w:rPr>
          <w:rFonts w:hint="eastAsia" w:ascii="仿宋" w:hAnsi="仿宋" w:eastAsia="仿宋" w:cs="仿宋"/>
          <w:sz w:val="32"/>
          <w:szCs w:val="32"/>
          <w:highlight w:val="yellow"/>
          <w:shd w:val="clear" w:color="auto" w:fill="auto"/>
        </w:rPr>
        <w:t>月</w:t>
      </w:r>
      <w:r>
        <w:rPr>
          <w:rFonts w:hint="eastAsia" w:ascii="仿宋" w:hAnsi="仿宋" w:eastAsia="仿宋" w:cs="仿宋"/>
          <w:sz w:val="32"/>
          <w:szCs w:val="32"/>
          <w:highlight w:val="yellow"/>
          <w:shd w:val="clear" w:color="auto" w:fill="auto"/>
          <w:lang w:val="en-US" w:eastAsia="zh-CN"/>
        </w:rPr>
        <w:t>13</w:t>
      </w:r>
      <w:r>
        <w:rPr>
          <w:rFonts w:hint="eastAsia" w:ascii="仿宋" w:hAnsi="仿宋" w:eastAsia="仿宋" w:cs="仿宋"/>
          <w:sz w:val="32"/>
          <w:szCs w:val="32"/>
          <w:highlight w:val="yellow"/>
          <w:shd w:val="clear" w:color="auto" w:fill="auto"/>
        </w:rPr>
        <w:t>日</w:t>
      </w:r>
    </w:p>
    <w:sectPr>
      <w:footerReference r:id="rId3" w:type="default"/>
      <w:pgSz w:w="11906" w:h="16838"/>
      <w:pgMar w:top="1440" w:right="1418" w:bottom="1440" w:left="153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4256F">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4731385</wp:posOffset>
              </wp:positionH>
              <wp:positionV relativeFrom="paragraph">
                <wp:posOffset>-33020</wp:posOffset>
              </wp:positionV>
              <wp:extent cx="956310" cy="180975"/>
              <wp:effectExtent l="0" t="0" r="0" b="0"/>
              <wp:wrapNone/>
              <wp:docPr id="1" name="4097"/>
              <wp:cNvGraphicFramePr/>
              <a:graphic xmlns:a="http://schemas.openxmlformats.org/drawingml/2006/main">
                <a:graphicData uri="http://schemas.microsoft.com/office/word/2010/wordprocessingShape">
                  <wps:wsp>
                    <wps:cNvSpPr txBox="1"/>
                    <wps:spPr>
                      <a:xfrm>
                        <a:off x="0" y="0"/>
                        <a:ext cx="956310" cy="180975"/>
                      </a:xfrm>
                      <a:prstGeom prst="rect">
                        <a:avLst/>
                      </a:prstGeom>
                      <a:noFill/>
                      <a:ln>
                        <a:noFill/>
                      </a:ln>
                    </wps:spPr>
                    <wps:txbx>
                      <w:txbxContent>
                        <w:p w14:paraId="3C50C3C5">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lIns="0" tIns="0" rIns="0" bIns="0" upright="1"/>
                  </wps:wsp>
                </a:graphicData>
              </a:graphic>
            </wp:anchor>
          </w:drawing>
        </mc:Choice>
        <mc:Fallback>
          <w:pict>
            <v:shape id="4097" o:spid="_x0000_s1026" o:spt="202" type="#_x0000_t202" style="position:absolute;left:0pt;margin-left:372.55pt;margin-top:-2.6pt;height:14.25pt;width:75.3pt;mso-position-horizontal-relative:margin;z-index:251659264;mso-width-relative:page;mso-height-relative:page;" filled="f" stroked="f" coordsize="21600,21600" o:gfxdata="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wM7LY2gAAAAkB&#10;AAAPAAAAAAAAAAEAIAAAACIAAABkcnMvZG93bnJldi54bWxQSwECFAAUAAAACACHTuJAbsBETKcB&#10;AABqAwAADgAAAAAAAAABACAAAAApAQAAZHJzL2Uyb0RvYy54bWxQSwUGAAAAAAYABgBZAQAAQgUA&#10;AAAA&#10;">
              <v:fill on="f" focussize="0,0"/>
              <v:stroke on="f"/>
              <v:imagedata o:title=""/>
              <o:lock v:ext="edit" aspectratio="f"/>
              <v:textbox inset="0mm,0mm,0mm,0mm">
                <w:txbxContent>
                  <w:p w14:paraId="3C50C3C5">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14:paraId="618D6224">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CEC590"/>
    <w:multiLevelType w:val="singleLevel"/>
    <w:tmpl w:val="B9CEC590"/>
    <w:lvl w:ilvl="0" w:tentative="0">
      <w:start w:val="1"/>
      <w:numFmt w:val="chineseCounting"/>
      <w:suff w:val="nothing"/>
      <w:lvlText w:val="（%1）"/>
      <w:lvlJc w:val="left"/>
      <w:pPr>
        <w:ind w:left="0" w:firstLine="420"/>
      </w:pPr>
      <w:rPr>
        <w:rFonts w:hint="eastAsia"/>
      </w:rPr>
    </w:lvl>
  </w:abstractNum>
  <w:abstractNum w:abstractNumId="1">
    <w:nsid w:val="DC7F1A4A"/>
    <w:multiLevelType w:val="singleLevel"/>
    <w:tmpl w:val="DC7F1A4A"/>
    <w:lvl w:ilvl="0" w:tentative="0">
      <w:start w:val="1"/>
      <w:numFmt w:val="decimal"/>
      <w:lvlText w:val="%1."/>
      <w:lvlJc w:val="left"/>
      <w:pPr>
        <w:tabs>
          <w:tab w:val="left" w:pos="312"/>
        </w:tabs>
      </w:pPr>
    </w:lvl>
  </w:abstractNum>
  <w:abstractNum w:abstractNumId="2">
    <w:nsid w:val="4A41F241"/>
    <w:multiLevelType w:val="singleLevel"/>
    <w:tmpl w:val="4A41F241"/>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B33453"/>
    <w:rsid w:val="11D30791"/>
    <w:rsid w:val="128F1661"/>
    <w:rsid w:val="12930AA6"/>
    <w:rsid w:val="25532A65"/>
    <w:rsid w:val="2F454DB2"/>
    <w:rsid w:val="31F63957"/>
    <w:rsid w:val="37672BAA"/>
    <w:rsid w:val="562309B6"/>
    <w:rsid w:val="57EB3D26"/>
    <w:rsid w:val="7A05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link w:val="25"/>
    <w:qFormat/>
    <w:uiPriority w:val="0"/>
    <w:pPr>
      <w:widowControl/>
      <w:spacing w:before="100" w:beforeAutospacing="1" w:after="100" w:afterAutospacing="1"/>
      <w:jc w:val="left"/>
      <w:outlineLvl w:val="0"/>
    </w:pPr>
    <w:rPr>
      <w:rFonts w:ascii="宋体" w:hAnsi="宋体" w:eastAsia="宋体" w:cs="Times New Roman"/>
      <w:b/>
      <w:bCs/>
      <w:kern w:val="36"/>
      <w:sz w:val="48"/>
      <w:szCs w:val="48"/>
    </w:rPr>
  </w:style>
  <w:style w:type="paragraph" w:styleId="2">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character" w:default="1" w:styleId="18">
    <w:name w:val="Default Paragraph Font"/>
    <w:qFormat/>
    <w:uiPriority w:val="1"/>
  </w:style>
  <w:style w:type="table" w:default="1" w:styleId="16">
    <w:name w:val="Normal Table"/>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eastAsia="宋体" w:cs="Times New Roman"/>
      <w:sz w:val="24"/>
      <w:szCs w:val="20"/>
    </w:rPr>
  </w:style>
  <w:style w:type="paragraph" w:styleId="5">
    <w:name w:val="Document Map"/>
    <w:basedOn w:val="1"/>
    <w:link w:val="29"/>
    <w:qFormat/>
    <w:uiPriority w:val="99"/>
    <w:rPr>
      <w:rFonts w:ascii="宋体" w:eastAsia="宋体"/>
      <w:sz w:val="18"/>
      <w:szCs w:val="18"/>
    </w:rPr>
  </w:style>
  <w:style w:type="paragraph" w:styleId="6">
    <w:name w:val="annotation text"/>
    <w:basedOn w:val="1"/>
    <w:link w:val="30"/>
    <w:qFormat/>
    <w:uiPriority w:val="99"/>
    <w:pPr>
      <w:jc w:val="left"/>
    </w:pPr>
  </w:style>
  <w:style w:type="paragraph" w:styleId="7">
    <w:name w:val="Body Text Indent"/>
    <w:basedOn w:val="1"/>
    <w:link w:val="26"/>
    <w:qFormat/>
    <w:uiPriority w:val="99"/>
    <w:pPr>
      <w:spacing w:after="120"/>
      <w:ind w:left="420" w:leftChars="200"/>
    </w:pPr>
  </w:style>
  <w:style w:type="paragraph" w:styleId="8">
    <w:name w:val="Date"/>
    <w:basedOn w:val="1"/>
    <w:next w:val="1"/>
    <w:link w:val="24"/>
    <w:qFormat/>
    <w:uiPriority w:val="99"/>
    <w:pPr>
      <w:ind w:left="100" w:leftChars="2500"/>
    </w:pPr>
  </w:style>
  <w:style w:type="paragraph" w:styleId="9">
    <w:name w:val="Balloon Text"/>
    <w:basedOn w:val="1"/>
    <w:link w:val="23"/>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sz w:val="18"/>
      <w:szCs w:val="18"/>
    </w:rPr>
  </w:style>
  <w:style w:type="paragraph" w:styleId="11">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link w:val="28"/>
    <w:qFormat/>
    <w:uiPriority w:val="0"/>
    <w:pPr>
      <w:spacing w:before="240" w:after="60" w:line="312" w:lineRule="auto"/>
      <w:jc w:val="center"/>
      <w:outlineLvl w:val="1"/>
    </w:pPr>
    <w:rPr>
      <w:rFonts w:ascii="Calibri" w:hAnsi="Calibri" w:eastAsia="宋体" w:cs="Times New Roman"/>
      <w:b/>
      <w:bCs/>
      <w:kern w:val="28"/>
      <w:sz w:val="32"/>
      <w:szCs w:val="32"/>
    </w:rPr>
  </w:style>
  <w:style w:type="paragraph" w:styleId="13">
    <w:name w:val="Normal (Web)"/>
    <w:basedOn w:val="1"/>
    <w:qFormat/>
    <w:uiPriority w:val="99"/>
    <w:pPr>
      <w:spacing w:beforeAutospacing="1" w:afterAutospacing="1"/>
      <w:jc w:val="left"/>
    </w:pPr>
    <w:rPr>
      <w:rFonts w:cs="Times New Roman"/>
      <w:kern w:val="0"/>
      <w:sz w:val="24"/>
    </w:rPr>
  </w:style>
  <w:style w:type="paragraph" w:styleId="14">
    <w:name w:val="annotation subject"/>
    <w:basedOn w:val="6"/>
    <w:next w:val="6"/>
    <w:link w:val="31"/>
    <w:qFormat/>
    <w:uiPriority w:val="99"/>
    <w:rPr>
      <w:b/>
      <w:bCs/>
    </w:rPr>
  </w:style>
  <w:style w:type="paragraph" w:styleId="15">
    <w:name w:val="Body Text First Indent 2"/>
    <w:basedOn w:val="7"/>
    <w:link w:val="27"/>
    <w:qFormat/>
    <w:uiPriority w:val="0"/>
    <w:pPr>
      <w:spacing w:after="0"/>
      <w:ind w:left="0" w:leftChars="0" w:firstLine="420" w:firstLineChars="200"/>
    </w:pPr>
    <w:rPr>
      <w:rFonts w:ascii="仿宋_GB2312" w:hAnsi="Times New Roman" w:eastAsia="仿宋_GB2312" w:cs="Times New Roman"/>
      <w:sz w:val="32"/>
      <w:szCs w:val="20"/>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basedOn w:val="18"/>
    <w:qFormat/>
    <w:uiPriority w:val="99"/>
    <w:rPr>
      <w:sz w:val="21"/>
      <w:szCs w:val="21"/>
    </w:rPr>
  </w:style>
  <w:style w:type="paragraph" w:styleId="20">
    <w:name w:val="List Paragraph"/>
    <w:basedOn w:val="1"/>
    <w:qFormat/>
    <w:uiPriority w:val="34"/>
    <w:pPr>
      <w:ind w:firstLine="420" w:firstLineChars="200"/>
    </w:pPr>
    <w:rPr>
      <w:szCs w:val="24"/>
    </w:rPr>
  </w:style>
  <w:style w:type="character" w:customStyle="1" w:styleId="21">
    <w:name w:val="页眉 Char"/>
    <w:basedOn w:val="18"/>
    <w:link w:val="11"/>
    <w:qFormat/>
    <w:uiPriority w:val="99"/>
    <w:rPr>
      <w:sz w:val="18"/>
      <w:szCs w:val="18"/>
    </w:rPr>
  </w:style>
  <w:style w:type="character" w:customStyle="1" w:styleId="22">
    <w:name w:val="页脚 Char"/>
    <w:basedOn w:val="18"/>
    <w:link w:val="10"/>
    <w:qFormat/>
    <w:uiPriority w:val="99"/>
    <w:rPr>
      <w:sz w:val="18"/>
      <w:szCs w:val="18"/>
    </w:rPr>
  </w:style>
  <w:style w:type="character" w:customStyle="1" w:styleId="23">
    <w:name w:val="批注框文本 Char"/>
    <w:basedOn w:val="18"/>
    <w:link w:val="9"/>
    <w:qFormat/>
    <w:uiPriority w:val="99"/>
    <w:rPr>
      <w:sz w:val="18"/>
      <w:szCs w:val="18"/>
    </w:rPr>
  </w:style>
  <w:style w:type="character" w:customStyle="1" w:styleId="24">
    <w:name w:val="日期 Char"/>
    <w:basedOn w:val="18"/>
    <w:link w:val="8"/>
    <w:qFormat/>
    <w:uiPriority w:val="99"/>
  </w:style>
  <w:style w:type="character" w:customStyle="1" w:styleId="25">
    <w:name w:val="标题 1 Char"/>
    <w:basedOn w:val="18"/>
    <w:link w:val="3"/>
    <w:qFormat/>
    <w:uiPriority w:val="0"/>
    <w:rPr>
      <w:rFonts w:ascii="宋体" w:hAnsi="宋体" w:eastAsia="宋体" w:cs="Times New Roman"/>
      <w:b/>
      <w:bCs/>
      <w:kern w:val="36"/>
      <w:sz w:val="48"/>
      <w:szCs w:val="48"/>
    </w:rPr>
  </w:style>
  <w:style w:type="character" w:customStyle="1" w:styleId="26">
    <w:name w:val="正文文本缩进 Char"/>
    <w:basedOn w:val="18"/>
    <w:link w:val="7"/>
    <w:qFormat/>
    <w:uiPriority w:val="99"/>
  </w:style>
  <w:style w:type="character" w:customStyle="1" w:styleId="27">
    <w:name w:val="正文首行缩进 2 Char"/>
    <w:basedOn w:val="26"/>
    <w:link w:val="15"/>
    <w:qFormat/>
    <w:uiPriority w:val="0"/>
    <w:rPr>
      <w:rFonts w:ascii="仿宋_GB2312" w:hAnsi="Times New Roman" w:eastAsia="仿宋_GB2312" w:cs="Times New Roman"/>
      <w:sz w:val="32"/>
      <w:szCs w:val="20"/>
    </w:rPr>
  </w:style>
  <w:style w:type="character" w:customStyle="1" w:styleId="28">
    <w:name w:val="副标题 Char"/>
    <w:basedOn w:val="18"/>
    <w:link w:val="12"/>
    <w:qFormat/>
    <w:uiPriority w:val="0"/>
    <w:rPr>
      <w:rFonts w:ascii="Calibri" w:hAnsi="Calibri" w:eastAsia="宋体" w:cs="Times New Roman"/>
      <w:b/>
      <w:bCs/>
      <w:kern w:val="28"/>
      <w:sz w:val="32"/>
      <w:szCs w:val="32"/>
    </w:rPr>
  </w:style>
  <w:style w:type="character" w:customStyle="1" w:styleId="29">
    <w:name w:val="文档结构图 Char"/>
    <w:basedOn w:val="18"/>
    <w:link w:val="5"/>
    <w:qFormat/>
    <w:uiPriority w:val="99"/>
    <w:rPr>
      <w:rFonts w:ascii="宋体" w:hAnsi="Calibri" w:cs="宋体"/>
      <w:kern w:val="2"/>
      <w:sz w:val="18"/>
      <w:szCs w:val="18"/>
    </w:rPr>
  </w:style>
  <w:style w:type="character" w:customStyle="1" w:styleId="30">
    <w:name w:val="批注文字 Char"/>
    <w:basedOn w:val="18"/>
    <w:link w:val="6"/>
    <w:qFormat/>
    <w:uiPriority w:val="99"/>
    <w:rPr>
      <w:rFonts w:ascii="Calibri" w:hAnsi="Calibri" w:eastAsia="宋体" w:cs="宋体"/>
      <w:kern w:val="2"/>
      <w:sz w:val="21"/>
      <w:szCs w:val="22"/>
    </w:rPr>
  </w:style>
  <w:style w:type="character" w:customStyle="1" w:styleId="31">
    <w:name w:val="批注主题 Char"/>
    <w:basedOn w:val="30"/>
    <w:link w:val="14"/>
    <w:qFormat/>
    <w:uiPriority w:val="99"/>
    <w:rPr>
      <w:b/>
      <w:bCs/>
    </w:rPr>
  </w:style>
  <w:style w:type="paragraph" w:customStyle="1" w:styleId="32">
    <w:name w:val="Default"/>
    <w:autoRedefine/>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1716</Words>
  <Characters>1779</Characters>
  <Paragraphs>89</Paragraphs>
  <TotalTime>97</TotalTime>
  <ScaleCrop>false</ScaleCrop>
  <LinksUpToDate>false</LinksUpToDate>
  <CharactersWithSpaces>1779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2024-11-21T03:08:00Z</dcterms:created>
  <dc:creator>麦楚岚</dc:creator>
  <cp:lastModifiedBy>周颖欣</cp:lastModifiedBy>
  <cp:lastPrinted>2024-11-26T01:05:00Z</cp:lastPrinted>
  <dcterms:modified xsi:type="dcterms:W3CDTF">2025-10-11T03:48:37Z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44B7F82B9E774771BEB404BC90589066_13</vt:lpwstr>
  </property>
  <property fmtid="{D5CDD505-2E9C-101B-9397-08002B2CF9AE}" pid="4" name="KSOTemplateDocerSaveRecord">
    <vt:lpwstr>eyJoZGlkIjoiY2UzNDM2MTg5NDljYjlmZGQwMjkzNmUwNzQ4YTEyNTQiLCJ1c2VySWQiOiI1MDk2MDA1MjcifQ==</vt:lpwstr>
  </property>
</Properties>
</file>