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p>
    <w:p>
      <w:pPr>
        <w:spacing w:after="312" w:afterLines="100" w:line="560" w:lineRule="exact"/>
        <w:jc w:val="center"/>
        <w:rPr>
          <w:rFonts w:ascii="Times New Roman" w:hAnsi="Times New Roman" w:eastAsia="方正小标宋简体" w:cs="Times New Roman"/>
          <w:sz w:val="44"/>
          <w:szCs w:val="44"/>
          <w:lang w:bidi="ar"/>
        </w:rPr>
      </w:pPr>
      <w:bookmarkStart w:id="0" w:name="_GoBack"/>
      <w:r>
        <w:rPr>
          <w:rFonts w:ascii="Times New Roman" w:hAnsi="Times New Roman" w:eastAsia="方正小标宋简体" w:cs="Times New Roman"/>
          <w:sz w:val="44"/>
          <w:szCs w:val="44"/>
          <w:lang w:bidi="ar"/>
        </w:rPr>
        <w:t>2024</w:t>
      </w:r>
      <w:r>
        <w:rPr>
          <w:rFonts w:hint="eastAsia" w:ascii="Times New Roman" w:hAnsi="Times New Roman" w:eastAsia="方正小标宋简体" w:cs="Times New Roman"/>
          <w:sz w:val="44"/>
          <w:szCs w:val="44"/>
          <w:lang w:bidi="ar"/>
        </w:rPr>
        <w:t>年江门市工业互联网项目专项资金评审指标体系</w:t>
      </w:r>
      <w:bookmarkEnd w:id="0"/>
    </w:p>
    <w:p>
      <w:pPr>
        <w:rPr>
          <w:rFonts w:ascii="Times New Roman" w:hAnsi="Times New Roman" w:eastAsia="黑体" w:cs="Times New Roman"/>
          <w:sz w:val="32"/>
          <w:szCs w:val="32"/>
          <w:lang w:bidi="ar"/>
        </w:rPr>
      </w:pPr>
    </w:p>
    <w:p>
      <w:pPr>
        <w:spacing w:line="560" w:lineRule="exact"/>
        <w:ind w:firstLine="640" w:firstLineChars="200"/>
        <w:rPr>
          <w:rFonts w:ascii="Times New Roman" w:hAnsi="Times New Roman" w:eastAsia="黑体" w:cs="Times New Roman"/>
          <w:sz w:val="32"/>
          <w:szCs w:val="32"/>
          <w:lang w:bidi="ar"/>
        </w:rPr>
      </w:pPr>
      <w:r>
        <w:rPr>
          <w:rFonts w:hint="eastAsia" w:ascii="Times New Roman" w:hAnsi="Times New Roman" w:eastAsia="黑体" w:cs="Times New Roman"/>
          <w:sz w:val="32"/>
          <w:szCs w:val="32"/>
          <w:lang w:bidi="ar"/>
        </w:rPr>
        <w:t>一、</w:t>
      </w:r>
      <w:r>
        <w:rPr>
          <w:rFonts w:ascii="Times New Roman" w:hAnsi="Times New Roman" w:eastAsia="黑体" w:cs="Times New Roman"/>
          <w:sz w:val="32"/>
          <w:szCs w:val="32"/>
          <w:lang w:bidi="ar"/>
        </w:rPr>
        <w:t>2024</w:t>
      </w:r>
      <w:r>
        <w:rPr>
          <w:rFonts w:hint="eastAsia" w:ascii="Times New Roman" w:hAnsi="Times New Roman" w:eastAsia="黑体" w:cs="Times New Roman"/>
          <w:sz w:val="32"/>
          <w:szCs w:val="32"/>
          <w:lang w:bidi="ar"/>
        </w:rPr>
        <w:t>年江门市工业互联网标杆示范项目专项资金评审指标体系</w:t>
      </w:r>
    </w:p>
    <w:p>
      <w:pPr>
        <w:spacing w:line="560" w:lineRule="exact"/>
        <w:ind w:firstLine="640" w:firstLineChars="200"/>
        <w:jc w:val="left"/>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lang w:bidi="ar"/>
        </w:rPr>
        <w:t>（一）基本情况评审</w:t>
      </w:r>
    </w:p>
    <w:tbl>
      <w:tblPr>
        <w:tblStyle w:val="4"/>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85"/>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blHeader/>
          <w:jc w:val="center"/>
        </w:trPr>
        <w:tc>
          <w:tcPr>
            <w:tcW w:w="814"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序号</w:t>
            </w:r>
          </w:p>
        </w:tc>
        <w:tc>
          <w:tcPr>
            <w:tcW w:w="1485"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评审因素</w:t>
            </w:r>
          </w:p>
        </w:tc>
        <w:tc>
          <w:tcPr>
            <w:tcW w:w="7530"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Align w:val="center"/>
          </w:tcPr>
          <w:p>
            <w:pPr>
              <w:jc w:val="center"/>
              <w:rPr>
                <w:rFonts w:asciiTheme="minorEastAsia" w:hAnsiTheme="minorEastAsia"/>
                <w:sz w:val="24"/>
              </w:rPr>
            </w:pPr>
            <w:r>
              <w:rPr>
                <w:rFonts w:hint="eastAsia" w:asciiTheme="minorEastAsia" w:hAnsiTheme="minorEastAsia"/>
                <w:sz w:val="24"/>
              </w:rPr>
              <w:t>1</w:t>
            </w:r>
          </w:p>
        </w:tc>
        <w:tc>
          <w:tcPr>
            <w:tcW w:w="1485" w:type="dxa"/>
            <w:vMerge w:val="restart"/>
            <w:vAlign w:val="center"/>
          </w:tcPr>
          <w:p>
            <w:pPr>
              <w:rPr>
                <w:rFonts w:asciiTheme="minorEastAsia" w:hAnsiTheme="minorEastAsia"/>
                <w:sz w:val="24"/>
              </w:rPr>
            </w:pPr>
            <w:r>
              <w:rPr>
                <w:rFonts w:hint="eastAsia" w:asciiTheme="minorEastAsia" w:hAnsiTheme="minorEastAsia"/>
                <w:sz w:val="24"/>
              </w:rPr>
              <w:t>营业执照复印件</w:t>
            </w:r>
          </w:p>
        </w:tc>
        <w:tc>
          <w:tcPr>
            <w:tcW w:w="7530" w:type="dxa"/>
            <w:vAlign w:val="center"/>
          </w:tcPr>
          <w:p>
            <w:pPr>
              <w:rPr>
                <w:rFonts w:asciiTheme="minorEastAsia" w:hAnsiTheme="minorEastAsia"/>
                <w:sz w:val="24"/>
              </w:rPr>
            </w:pPr>
            <w:r>
              <w:rPr>
                <w:rFonts w:hint="eastAsia" w:asciiTheme="minorEastAsia" w:hAnsiTheme="minorEastAsia"/>
                <w:sz w:val="24"/>
              </w:rPr>
              <w:t>在江门市行政区域内依法注册（或登记）、成立时间满1年的独立法人企业（截至企业申请本奖补日期），申报标杆的工业企业主要为规模以上企业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Align w:val="center"/>
          </w:tcPr>
          <w:p>
            <w:pPr>
              <w:jc w:val="center"/>
              <w:rPr>
                <w:rFonts w:asciiTheme="minorEastAsia" w:hAnsiTheme="minorEastAsia"/>
                <w:sz w:val="24"/>
              </w:rPr>
            </w:pPr>
            <w:r>
              <w:rPr>
                <w:rFonts w:hint="eastAsia" w:asciiTheme="minorEastAsia" w:hAnsiTheme="minorEastAsia"/>
                <w:sz w:val="24"/>
              </w:rPr>
              <w:t>2</w:t>
            </w:r>
          </w:p>
        </w:tc>
        <w:tc>
          <w:tcPr>
            <w:tcW w:w="1485" w:type="dxa"/>
            <w:vMerge w:val="continue"/>
            <w:vAlign w:val="center"/>
          </w:tcPr>
          <w:p>
            <w:pPr>
              <w:jc w:val="left"/>
              <w:rPr>
                <w:rFonts w:asciiTheme="minorEastAsia" w:hAnsiTheme="minorEastAsia"/>
                <w:sz w:val="24"/>
              </w:rPr>
            </w:pPr>
          </w:p>
        </w:tc>
        <w:tc>
          <w:tcPr>
            <w:tcW w:w="7530" w:type="dxa"/>
            <w:vAlign w:val="center"/>
          </w:tcPr>
          <w:p>
            <w:pPr>
              <w:rPr>
                <w:rFonts w:asciiTheme="minorEastAsia" w:hAnsiTheme="minorEastAsia"/>
                <w:sz w:val="24"/>
              </w:rPr>
            </w:pPr>
            <w:r>
              <w:rPr>
                <w:rFonts w:hint="eastAsia" w:asciiTheme="minorEastAsia" w:hAnsiTheme="minorEastAsia"/>
                <w:sz w:val="24"/>
              </w:rPr>
              <w:t>近三年内企业获各级财政资金支持项目执行情况良好，在相关绩效评价和监督检查中未出现违规、违法问题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Align w:val="center"/>
          </w:tcPr>
          <w:p>
            <w:pPr>
              <w:jc w:val="center"/>
              <w:rPr>
                <w:rFonts w:asciiTheme="minorEastAsia" w:hAnsiTheme="minorEastAsia"/>
                <w:sz w:val="24"/>
              </w:rPr>
            </w:pPr>
            <w:r>
              <w:rPr>
                <w:rFonts w:hint="eastAsia" w:asciiTheme="minorEastAsia" w:hAnsiTheme="minorEastAsia"/>
                <w:sz w:val="24"/>
              </w:rPr>
              <w:t>3</w:t>
            </w:r>
          </w:p>
        </w:tc>
        <w:tc>
          <w:tcPr>
            <w:tcW w:w="1485" w:type="dxa"/>
            <w:vMerge w:val="continue"/>
            <w:vAlign w:val="center"/>
          </w:tcPr>
          <w:p>
            <w:pPr>
              <w:jc w:val="left"/>
              <w:rPr>
                <w:rFonts w:asciiTheme="minorEastAsia" w:hAnsiTheme="minorEastAsia"/>
                <w:sz w:val="24"/>
              </w:rPr>
            </w:pPr>
          </w:p>
        </w:tc>
        <w:tc>
          <w:tcPr>
            <w:tcW w:w="7530" w:type="dxa"/>
            <w:vAlign w:val="center"/>
          </w:tcPr>
          <w:p>
            <w:pPr>
              <w:rPr>
                <w:rFonts w:asciiTheme="minorEastAsia" w:hAnsiTheme="minorEastAsia"/>
                <w:sz w:val="24"/>
              </w:rPr>
            </w:pPr>
            <w:r>
              <w:rPr>
                <w:rFonts w:hint="eastAsia" w:asciiTheme="minorEastAsia" w:hAnsiTheme="minorEastAsia"/>
                <w:sz w:val="24"/>
              </w:rPr>
              <w:t>近三年内信用良好（没有被纳入经营异常名录或严重违法失信企业名单），未发生重大安全、环保、质量事故;</w:t>
            </w:r>
          </w:p>
          <w:p>
            <w:pPr>
              <w:rPr>
                <w:rFonts w:ascii="宋体" w:hAnsi="宋体" w:cs="宋体"/>
                <w:sz w:val="24"/>
              </w:rPr>
            </w:pPr>
            <w:r>
              <w:rPr>
                <w:rFonts w:hint="eastAsia" w:asciiTheme="minorEastAsia" w:hAnsiTheme="minorEastAsia"/>
                <w:sz w:val="24"/>
              </w:rPr>
              <w:t xml:space="preserve"> 提供“信用中国”网站查验报告</w:t>
            </w:r>
            <w:r>
              <w:rPr>
                <w:rFonts w:hint="eastAsia" w:ascii="宋体" w:hAnsi="宋体" w:cs="宋体"/>
                <w:sz w:val="24"/>
              </w:rPr>
              <w:t>【评审当天，由专家组</w:t>
            </w:r>
            <w:r>
              <w:rPr>
                <w:rFonts w:ascii="宋体" w:hAnsi="宋体" w:cs="宋体"/>
                <w:sz w:val="24"/>
              </w:rPr>
              <w:t>在“信用中国”网站（http</w:t>
            </w:r>
            <w:r>
              <w:rPr>
                <w:rFonts w:hint="eastAsia" w:ascii="宋体" w:hAnsi="宋体" w:cs="宋体"/>
                <w:sz w:val="24"/>
              </w:rPr>
              <w:t>s</w:t>
            </w:r>
            <w:r>
              <w:rPr>
                <w:rFonts w:ascii="宋体" w:hAnsi="宋体" w:cs="宋体"/>
                <w:sz w:val="24"/>
              </w:rPr>
              <w:t>://www.creditchina.gov.cn）查询结果。</w:t>
            </w:r>
            <w:r>
              <w:rPr>
                <w:rFonts w:hint="eastAsia" w:ascii="宋体" w:hAnsi="宋体" w:cs="宋体"/>
                <w:sz w:val="24"/>
              </w:rPr>
              <w:t>】</w:t>
            </w:r>
          </w:p>
          <w:p>
            <w:pPr>
              <w:rPr>
                <w:rFonts w:asciiTheme="minorEastAsia" w:hAnsiTheme="minorEastAsia"/>
                <w:sz w:val="24"/>
              </w:rPr>
            </w:pPr>
            <w:r>
              <w:rPr>
                <w:rFonts w:hint="eastAsia" w:asciiTheme="minorEastAsia" w:hAnsiTheme="minorEastAsia"/>
                <w:sz w:val="24"/>
              </w:rPr>
              <w:t>提供制造业企业数字化水平评测结果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Align w:val="center"/>
          </w:tcPr>
          <w:p>
            <w:pPr>
              <w:jc w:val="center"/>
              <w:rPr>
                <w:rFonts w:asciiTheme="minorEastAsia" w:hAnsiTheme="minorEastAsia"/>
                <w:sz w:val="24"/>
              </w:rPr>
            </w:pPr>
            <w:r>
              <w:rPr>
                <w:rFonts w:hint="eastAsia" w:asciiTheme="minorEastAsia" w:hAnsiTheme="minorEastAsia"/>
                <w:sz w:val="24"/>
              </w:rPr>
              <w:t>4</w:t>
            </w:r>
          </w:p>
        </w:tc>
        <w:tc>
          <w:tcPr>
            <w:tcW w:w="1485" w:type="dxa"/>
            <w:vMerge w:val="continue"/>
            <w:vAlign w:val="center"/>
          </w:tcPr>
          <w:p>
            <w:pPr>
              <w:jc w:val="left"/>
              <w:rPr>
                <w:rFonts w:asciiTheme="minorEastAsia" w:hAnsiTheme="minorEastAsia"/>
                <w:sz w:val="24"/>
              </w:rPr>
            </w:pPr>
          </w:p>
        </w:tc>
        <w:tc>
          <w:tcPr>
            <w:tcW w:w="7530" w:type="dxa"/>
            <w:vAlign w:val="center"/>
          </w:tcPr>
          <w:p>
            <w:pPr>
              <w:rPr>
                <w:rFonts w:asciiTheme="minorEastAsia" w:hAnsiTheme="minorEastAsia"/>
                <w:sz w:val="24"/>
              </w:rPr>
            </w:pPr>
            <w:r>
              <w:rPr>
                <w:rFonts w:hint="eastAsia" w:asciiTheme="minorEastAsia" w:hAnsiTheme="minorEastAsia"/>
                <w:sz w:val="24"/>
              </w:rPr>
              <w:t>申报项目未获得过其他财政资金支持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Merge w:val="restart"/>
            <w:vAlign w:val="center"/>
          </w:tcPr>
          <w:p>
            <w:pPr>
              <w:jc w:val="center"/>
              <w:rPr>
                <w:rFonts w:asciiTheme="minorEastAsia" w:hAnsiTheme="minorEastAsia"/>
                <w:sz w:val="24"/>
              </w:rPr>
            </w:pPr>
            <w:r>
              <w:rPr>
                <w:rFonts w:asciiTheme="minorEastAsia" w:hAnsiTheme="minorEastAsia"/>
                <w:sz w:val="24"/>
              </w:rPr>
              <w:t>5</w:t>
            </w:r>
          </w:p>
        </w:tc>
        <w:tc>
          <w:tcPr>
            <w:tcW w:w="1485" w:type="dxa"/>
            <w:vMerge w:val="restart"/>
            <w:vAlign w:val="center"/>
          </w:tcPr>
          <w:p>
            <w:pPr>
              <w:jc w:val="left"/>
              <w:rPr>
                <w:rFonts w:asciiTheme="minorEastAsia" w:hAnsiTheme="minorEastAsia"/>
                <w:sz w:val="24"/>
              </w:rPr>
            </w:pPr>
            <w:r>
              <w:rPr>
                <w:rFonts w:asciiTheme="minorEastAsia" w:hAnsiTheme="minorEastAsia"/>
                <w:sz w:val="24"/>
              </w:rPr>
              <w:t>申请报告</w:t>
            </w:r>
          </w:p>
        </w:tc>
        <w:tc>
          <w:tcPr>
            <w:tcW w:w="7530" w:type="dxa"/>
            <w:vAlign w:val="center"/>
          </w:tcPr>
          <w:p>
            <w:pPr>
              <w:rPr>
                <w:rFonts w:asciiTheme="minorEastAsia" w:hAnsiTheme="minorEastAsia"/>
                <w:sz w:val="24"/>
              </w:rPr>
            </w:pPr>
            <w:r>
              <w:rPr>
                <w:rFonts w:hint="eastAsia" w:asciiTheme="minorEastAsia" w:hAnsiTheme="minorEastAsia"/>
                <w:sz w:val="24"/>
              </w:rPr>
              <w:t>项目实施地必须在江门市内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Merge w:val="continue"/>
            <w:vAlign w:val="center"/>
          </w:tcPr>
          <w:p>
            <w:pPr>
              <w:jc w:val="center"/>
              <w:rPr>
                <w:rFonts w:asciiTheme="minorEastAsia" w:hAnsiTheme="minorEastAsia"/>
                <w:sz w:val="24"/>
              </w:rPr>
            </w:pPr>
          </w:p>
        </w:tc>
        <w:tc>
          <w:tcPr>
            <w:tcW w:w="1485" w:type="dxa"/>
            <w:vMerge w:val="continue"/>
            <w:vAlign w:val="center"/>
          </w:tcPr>
          <w:p>
            <w:pPr>
              <w:jc w:val="left"/>
              <w:rPr>
                <w:rFonts w:asciiTheme="minorEastAsia" w:hAnsiTheme="minorEastAsia"/>
                <w:sz w:val="24"/>
              </w:rPr>
            </w:pPr>
          </w:p>
        </w:tc>
        <w:tc>
          <w:tcPr>
            <w:tcW w:w="7530" w:type="dxa"/>
            <w:vAlign w:val="center"/>
          </w:tcPr>
          <w:p>
            <w:pPr>
              <w:rPr>
                <w:rFonts w:asciiTheme="minorEastAsia" w:hAnsiTheme="minorEastAsia"/>
                <w:sz w:val="24"/>
              </w:rPr>
            </w:pPr>
            <w:r>
              <w:rPr>
                <w:rFonts w:hint="eastAsia" w:asciiTheme="minorEastAsia" w:hAnsiTheme="minorEastAsia"/>
                <w:sz w:val="24"/>
              </w:rPr>
              <w:t>项目应用场景具有代表性，面向行业细分领域需求，通过工业互联网、数字化智能化实践带动企业研发、制造、管理、服务等各环节数字化和智能化水平提高，不断促进企业业务持续改善。提交的解决方案和实践模式具有可复制性、易推广性，具有示范带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Merge w:val="continue"/>
            <w:vAlign w:val="center"/>
          </w:tcPr>
          <w:p>
            <w:pPr>
              <w:jc w:val="center"/>
              <w:rPr>
                <w:rFonts w:asciiTheme="minorEastAsia" w:hAnsiTheme="minorEastAsia"/>
                <w:sz w:val="24"/>
              </w:rPr>
            </w:pPr>
          </w:p>
        </w:tc>
        <w:tc>
          <w:tcPr>
            <w:tcW w:w="1485" w:type="dxa"/>
            <w:vMerge w:val="continue"/>
            <w:vAlign w:val="center"/>
          </w:tcPr>
          <w:p>
            <w:pPr>
              <w:jc w:val="left"/>
              <w:rPr>
                <w:rFonts w:asciiTheme="minorEastAsia" w:hAnsiTheme="minorEastAsia"/>
                <w:sz w:val="24"/>
              </w:rPr>
            </w:pPr>
          </w:p>
        </w:tc>
        <w:tc>
          <w:tcPr>
            <w:tcW w:w="7530" w:type="dxa"/>
            <w:vAlign w:val="center"/>
          </w:tcPr>
          <w:p>
            <w:pPr>
              <w:rPr>
                <w:rFonts w:asciiTheme="minorEastAsia" w:hAnsiTheme="minorEastAsia"/>
                <w:sz w:val="24"/>
              </w:rPr>
            </w:pPr>
            <w:r>
              <w:rPr>
                <w:rFonts w:hint="eastAsia" w:asciiTheme="minorEastAsia" w:hAnsiTheme="minorEastAsia"/>
                <w:sz w:val="24"/>
              </w:rPr>
              <w:t>对于申报截止日期前一年内开始实施（以合同签订时间为准），在本文件发布时仍未竣工，且在后续实施过程中通过华为云平台采购应用软件和云服务的项目，可在有效申报期内作为整体项目申报，已购置产品信息按附录2表三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Merge w:val="continue"/>
            <w:vAlign w:val="center"/>
          </w:tcPr>
          <w:p>
            <w:pPr>
              <w:jc w:val="center"/>
              <w:rPr>
                <w:rFonts w:asciiTheme="minorEastAsia" w:hAnsiTheme="minorEastAsia"/>
                <w:sz w:val="24"/>
              </w:rPr>
            </w:pPr>
          </w:p>
        </w:tc>
        <w:tc>
          <w:tcPr>
            <w:tcW w:w="1485" w:type="dxa"/>
            <w:vMerge w:val="continue"/>
            <w:vAlign w:val="center"/>
          </w:tcPr>
          <w:p>
            <w:pPr>
              <w:jc w:val="left"/>
              <w:rPr>
                <w:rFonts w:asciiTheme="minorEastAsia" w:hAnsiTheme="minorEastAsia"/>
                <w:sz w:val="24"/>
              </w:rPr>
            </w:pPr>
          </w:p>
        </w:tc>
        <w:tc>
          <w:tcPr>
            <w:tcW w:w="7530" w:type="dxa"/>
            <w:vAlign w:val="center"/>
          </w:tcPr>
          <w:p>
            <w:pPr>
              <w:rPr>
                <w:rFonts w:asciiTheme="minorEastAsia" w:hAnsiTheme="minorEastAsia"/>
                <w:sz w:val="24"/>
              </w:rPr>
            </w:pPr>
            <w:r>
              <w:rPr>
                <w:rFonts w:hint="eastAsia" w:asciiTheme="minorEastAsia" w:hAnsiTheme="minorEastAsia"/>
                <w:sz w:val="24"/>
              </w:rPr>
              <w:t>项目总投入费用不低于200万元（不含税）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Align w:val="center"/>
          </w:tcPr>
          <w:p>
            <w:pPr>
              <w:jc w:val="center"/>
              <w:rPr>
                <w:rFonts w:asciiTheme="minorEastAsia" w:hAnsiTheme="minorEastAsia"/>
                <w:sz w:val="24"/>
              </w:rPr>
            </w:pPr>
            <w:r>
              <w:rPr>
                <w:rFonts w:asciiTheme="minorEastAsia" w:hAnsiTheme="minorEastAsia"/>
                <w:sz w:val="24"/>
              </w:rPr>
              <w:t>6</w:t>
            </w:r>
          </w:p>
        </w:tc>
        <w:tc>
          <w:tcPr>
            <w:tcW w:w="1485" w:type="dxa"/>
            <w:vAlign w:val="center"/>
          </w:tcPr>
          <w:p>
            <w:pPr>
              <w:jc w:val="left"/>
              <w:rPr>
                <w:rFonts w:asciiTheme="minorEastAsia" w:hAnsiTheme="minorEastAsia"/>
                <w:sz w:val="24"/>
              </w:rPr>
            </w:pPr>
            <w:r>
              <w:rPr>
                <w:rFonts w:asciiTheme="minorEastAsia" w:hAnsiTheme="minorEastAsia"/>
                <w:sz w:val="24"/>
              </w:rPr>
              <w:t>申报信息表</w:t>
            </w:r>
          </w:p>
        </w:tc>
        <w:tc>
          <w:tcPr>
            <w:tcW w:w="7530" w:type="dxa"/>
            <w:vAlign w:val="center"/>
          </w:tcPr>
          <w:p>
            <w:pPr>
              <w:rPr>
                <w:rFonts w:asciiTheme="minorEastAsia" w:hAnsiTheme="minorEastAsia"/>
                <w:sz w:val="24"/>
              </w:rPr>
            </w:pPr>
            <w:r>
              <w:rPr>
                <w:rFonts w:hint="eastAsia" w:asciiTheme="minorEastAsia" w:hAnsiTheme="minorEastAsia"/>
                <w:sz w:val="24"/>
              </w:rPr>
              <w:t>重点支持企业购买研发设计、生产管控、供应链管理、经营销售管理、售后服务等五类工业SaaS应用场景服务，包括但不限于IOT、EAM、EMS、MES、MOM、PLM、SCM、SRM、WMS、CAE、PDM、ERP、泛互联网功能等应用产品，提供从企业研发设计、生产制造、供应物流、销售管理、财务管理、设备管理、工艺优化、能耗管理、智能检测等工业云软件产品及服务等。企业在购买上述五类工业SaaS应用场景服务中不少于一项应用产品的基础上，加购其他云服务产品可享受补贴政策，包括但不限于云基础资源、AI服务、软件开发云服务、数据库、+安全、容器、培训认证类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Align w:val="center"/>
          </w:tcPr>
          <w:p>
            <w:pPr>
              <w:jc w:val="center"/>
              <w:rPr>
                <w:rFonts w:asciiTheme="minorEastAsia" w:hAnsiTheme="minorEastAsia"/>
                <w:sz w:val="24"/>
              </w:rPr>
            </w:pPr>
            <w:r>
              <w:rPr>
                <w:rFonts w:asciiTheme="minorEastAsia" w:hAnsiTheme="minorEastAsia"/>
                <w:sz w:val="24"/>
              </w:rPr>
              <w:t>7</w:t>
            </w:r>
          </w:p>
        </w:tc>
        <w:tc>
          <w:tcPr>
            <w:tcW w:w="1485" w:type="dxa"/>
            <w:vAlign w:val="center"/>
          </w:tcPr>
          <w:p>
            <w:pPr>
              <w:jc w:val="left"/>
              <w:rPr>
                <w:rFonts w:asciiTheme="minorEastAsia" w:hAnsiTheme="minorEastAsia"/>
                <w:sz w:val="24"/>
              </w:rPr>
            </w:pPr>
            <w:r>
              <w:rPr>
                <w:rFonts w:hint="eastAsia" w:asciiTheme="minorEastAsia" w:hAnsiTheme="minorEastAsia"/>
                <w:sz w:val="24"/>
              </w:rPr>
              <w:t>上年度审计报告和本年度财务报表</w:t>
            </w:r>
          </w:p>
        </w:tc>
        <w:tc>
          <w:tcPr>
            <w:tcW w:w="7530" w:type="dxa"/>
            <w:vAlign w:val="center"/>
          </w:tcPr>
          <w:p>
            <w:pPr>
              <w:rPr>
                <w:rFonts w:asciiTheme="minorEastAsia" w:hAnsiTheme="minorEastAsia"/>
                <w:sz w:val="24"/>
              </w:rPr>
            </w:pPr>
            <w:r>
              <w:rPr>
                <w:rFonts w:hint="eastAsia" w:asciiTheme="minorEastAsia" w:hAnsiTheme="minorEastAsia"/>
                <w:sz w:val="24"/>
              </w:rPr>
              <w:t>企业经会计事务所审计的202</w:t>
            </w:r>
            <w:r>
              <w:rPr>
                <w:rFonts w:asciiTheme="minorEastAsia" w:hAnsiTheme="minorEastAsia"/>
                <w:sz w:val="24"/>
              </w:rPr>
              <w:t>3</w:t>
            </w:r>
            <w:r>
              <w:rPr>
                <w:rFonts w:hint="eastAsia" w:asciiTheme="minorEastAsia" w:hAnsiTheme="minorEastAsia"/>
                <w:sz w:val="24"/>
              </w:rPr>
              <w:t>年财务审计报告或有资质中介机构出具的202</w:t>
            </w:r>
            <w:r>
              <w:rPr>
                <w:rFonts w:asciiTheme="minorEastAsia" w:hAnsiTheme="minorEastAsia"/>
                <w:sz w:val="24"/>
              </w:rPr>
              <w:t>3</w:t>
            </w:r>
            <w:r>
              <w:rPr>
                <w:rFonts w:hint="eastAsia" w:asciiTheme="minorEastAsia" w:hAnsiTheme="minorEastAsia"/>
                <w:sz w:val="24"/>
              </w:rPr>
              <w:t>年企业所得税汇算清缴报告，及近6个月财务报表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4" w:type="dxa"/>
            <w:vAlign w:val="center"/>
          </w:tcPr>
          <w:p>
            <w:pPr>
              <w:jc w:val="center"/>
              <w:rPr>
                <w:rFonts w:asciiTheme="minorEastAsia" w:hAnsiTheme="minorEastAsia"/>
                <w:sz w:val="24"/>
              </w:rPr>
            </w:pPr>
            <w:r>
              <w:rPr>
                <w:rFonts w:asciiTheme="minorEastAsia" w:hAnsiTheme="minorEastAsia"/>
                <w:sz w:val="24"/>
              </w:rPr>
              <w:t>8</w:t>
            </w:r>
          </w:p>
        </w:tc>
        <w:tc>
          <w:tcPr>
            <w:tcW w:w="1485" w:type="dxa"/>
            <w:vAlign w:val="center"/>
          </w:tcPr>
          <w:p>
            <w:pPr>
              <w:rPr>
                <w:rFonts w:asciiTheme="minorEastAsia" w:hAnsiTheme="minorEastAsia"/>
                <w:sz w:val="24"/>
              </w:rPr>
            </w:pPr>
            <w:r>
              <w:rPr>
                <w:rFonts w:hint="eastAsia" w:asciiTheme="minorEastAsia" w:hAnsiTheme="minorEastAsia"/>
                <w:sz w:val="24"/>
              </w:rPr>
              <w:t>承诺函</w:t>
            </w:r>
          </w:p>
        </w:tc>
        <w:tc>
          <w:tcPr>
            <w:tcW w:w="7530" w:type="dxa"/>
            <w:vAlign w:val="center"/>
          </w:tcPr>
          <w:p>
            <w:pPr>
              <w:rPr>
                <w:rFonts w:asciiTheme="minorEastAsia" w:hAnsiTheme="minorEastAsia"/>
                <w:sz w:val="24"/>
              </w:rPr>
            </w:pPr>
            <w:r>
              <w:rPr>
                <w:rFonts w:hint="eastAsia" w:asciiTheme="minorEastAsia" w:hAnsiTheme="minorEastAsia"/>
                <w:sz w:val="24"/>
              </w:rPr>
              <w:t>《202</w:t>
            </w:r>
            <w:r>
              <w:rPr>
                <w:rFonts w:asciiTheme="minorEastAsia" w:hAnsiTheme="minorEastAsia"/>
                <w:sz w:val="24"/>
              </w:rPr>
              <w:t>4</w:t>
            </w:r>
            <w:r>
              <w:rPr>
                <w:rFonts w:hint="eastAsia" w:asciiTheme="minorEastAsia" w:hAnsiTheme="minorEastAsia"/>
                <w:sz w:val="24"/>
              </w:rPr>
              <w:t>年江门市工业互联网标杆示范项目责任承诺函》须有盖章和签署日期</w:t>
            </w:r>
          </w:p>
        </w:tc>
      </w:tr>
    </w:tbl>
    <w:p>
      <w:pPr>
        <w:jc w:val="left"/>
        <w:rPr>
          <w:rFonts w:asciiTheme="minorEastAsia" w:hAnsiTheme="minorEastAsia" w:cstheme="minorEastAsia"/>
          <w:b/>
          <w:sz w:val="24"/>
        </w:rPr>
      </w:pPr>
      <w:r>
        <w:rPr>
          <w:rFonts w:hint="eastAsia" w:asciiTheme="minorEastAsia" w:hAnsiTheme="minorEastAsia" w:cstheme="minorEastAsia"/>
          <w:b/>
          <w:sz w:val="24"/>
        </w:rPr>
        <w:t>说明：</w:t>
      </w:r>
    </w:p>
    <w:p>
      <w:pPr>
        <w:jc w:val="left"/>
        <w:rPr>
          <w:rFonts w:asciiTheme="minorEastAsia" w:hAnsiTheme="minorEastAsia" w:cstheme="minorEastAsia"/>
          <w:b/>
          <w:sz w:val="24"/>
        </w:rPr>
      </w:pPr>
      <w:r>
        <w:rPr>
          <w:rFonts w:hint="eastAsia" w:asciiTheme="minorEastAsia" w:hAnsiTheme="minorEastAsia" w:cstheme="minorEastAsia"/>
          <w:b/>
          <w:sz w:val="24"/>
        </w:rPr>
        <w:t>1、基本情况评审实行一票否决项，针对每一项内容进行“符合”“不符合”审查，出现一个“不符合”的结论为“不通过”。</w:t>
      </w:r>
    </w:p>
    <w:p>
      <w:pPr>
        <w:jc w:val="left"/>
        <w:rPr>
          <w:rFonts w:asciiTheme="minorEastAsia" w:hAnsiTheme="minorEastAsia" w:cstheme="minorEastAsia"/>
          <w:b/>
          <w:sz w:val="24"/>
        </w:rPr>
      </w:pPr>
      <w:r>
        <w:rPr>
          <w:rFonts w:hint="eastAsia" w:asciiTheme="minorEastAsia" w:hAnsiTheme="minorEastAsia" w:cstheme="minorEastAsia"/>
          <w:b/>
          <w:sz w:val="24"/>
        </w:rPr>
        <w:t>2、对于每一项评审内容实行少数服从多数的原则进行统计，超过半数评委认为符合的，则该项的结果为符合，否则为不符合。</w:t>
      </w:r>
    </w:p>
    <w:p>
      <w:pPr>
        <w:jc w:val="left"/>
        <w:rPr>
          <w:rFonts w:asciiTheme="minorEastAsia" w:hAnsiTheme="minorEastAsia" w:cstheme="minorEastAsia"/>
          <w:b/>
          <w:sz w:val="24"/>
        </w:rPr>
      </w:pPr>
      <w:r>
        <w:rPr>
          <w:rFonts w:hint="eastAsia" w:asciiTheme="minorEastAsia" w:hAnsiTheme="minorEastAsia" w:cstheme="minorEastAsia"/>
          <w:b/>
          <w:sz w:val="24"/>
        </w:rPr>
        <w:t>3、申报单位为“不通过”的结论，不用进行专业指标评审。</w:t>
      </w:r>
    </w:p>
    <w:p>
      <w:pPr>
        <w:ind w:firstLine="640" w:firstLineChars="200"/>
        <w:jc w:val="left"/>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lang w:bidi="ar"/>
        </w:rPr>
        <w:t>（二）专业指标评审（采用综合评分法，满分</w:t>
      </w:r>
      <w:r>
        <w:rPr>
          <w:rFonts w:ascii="Times New Roman" w:hAnsi="Times New Roman" w:eastAsia="楷体_GB2312" w:cs="Times New Roman"/>
          <w:bCs/>
          <w:sz w:val="32"/>
          <w:szCs w:val="32"/>
          <w:lang w:bidi="ar"/>
        </w:rPr>
        <w:t>100</w:t>
      </w:r>
      <w:r>
        <w:rPr>
          <w:rFonts w:hint="eastAsia" w:ascii="Times New Roman" w:hAnsi="Times New Roman" w:eastAsia="楷体_GB2312" w:cs="Times New Roman"/>
          <w:bCs/>
          <w:sz w:val="32"/>
          <w:szCs w:val="32"/>
          <w:lang w:bidi="ar"/>
        </w:rPr>
        <w:t>分）</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527"/>
        <w:gridCol w:w="2862"/>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blHeader/>
          <w:jc w:val="center"/>
        </w:trPr>
        <w:tc>
          <w:tcPr>
            <w:tcW w:w="1268"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4"/>
              </w:rPr>
            </w:pPr>
            <w:r>
              <w:rPr>
                <w:rFonts w:hint="eastAsia" w:asciiTheme="minorEastAsia" w:hAnsiTheme="minorEastAsia"/>
                <w:b/>
                <w:sz w:val="24"/>
              </w:rPr>
              <w:t>序号</w:t>
            </w:r>
          </w:p>
        </w:tc>
        <w:tc>
          <w:tcPr>
            <w:tcW w:w="1527"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4"/>
              </w:rPr>
            </w:pPr>
            <w:r>
              <w:rPr>
                <w:rFonts w:hint="eastAsia" w:asciiTheme="minorEastAsia" w:hAnsiTheme="minorEastAsia"/>
                <w:b/>
                <w:sz w:val="24"/>
              </w:rPr>
              <w:t>评审内容</w:t>
            </w:r>
          </w:p>
        </w:tc>
        <w:tc>
          <w:tcPr>
            <w:tcW w:w="2862"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4"/>
              </w:rPr>
            </w:pPr>
            <w:r>
              <w:rPr>
                <w:rFonts w:hint="eastAsia" w:asciiTheme="minorEastAsia" w:hAnsiTheme="minorEastAsia"/>
                <w:b/>
                <w:sz w:val="24"/>
              </w:rPr>
              <w:t>基本项</w:t>
            </w:r>
          </w:p>
        </w:tc>
        <w:tc>
          <w:tcPr>
            <w:tcW w:w="2863"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4"/>
              </w:rPr>
            </w:pPr>
            <w:r>
              <w:rPr>
                <w:rFonts w:hint="eastAsia" w:asciiTheme="minorEastAsia" w:hAnsiTheme="minorEastAsia"/>
                <w:b/>
                <w:sz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（一）项目基本情况</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企业数字化基础</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近年来在信息化建设、自动化改造方面已有投入，数据采集和应用情况良好，数字化转型和商业模式创新意愿强烈</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sz w:val="24"/>
              </w:rPr>
            </w:pPr>
            <w:r>
              <w:rPr>
                <w:rFonts w:hint="eastAsia" w:asciiTheme="minorEastAsia" w:hAnsiTheme="minorEastAsia"/>
                <w:sz w:val="24"/>
              </w:rPr>
              <w:t>有相关部门设置情况，以及相关人才和团队的储备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企业在工业互联网方面的发展规划及进展</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有发展规划及阶段性目标或已实施部署的数字化进展情况</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工业互联网服务商企业基本情况</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有包括但不限于法人所有制性质、主营业务，近年来的销售收入、利润、税金、组织架构、管理模式、管理制度等描述</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发展前景、项目负责人及核心团队成员资历，主要产品或服务介绍、核心技术及其核心竞争优势，及产品服务的主要应用场景、广东省内的典型案例实施情况及成效说明，项目实施和服务保障能力等相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sz w:val="24"/>
              </w:rPr>
              <w:t>发展现状和痛点</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asciiTheme="minorEastAsia" w:hAnsiTheme="minorEastAsia"/>
                <w:sz w:val="24"/>
              </w:rPr>
              <w:t>紧扣企业降本提质增效降耗协同等核心问题，</w:t>
            </w:r>
            <w:r>
              <w:rPr>
                <w:rFonts w:hint="eastAsia" w:asciiTheme="minorEastAsia" w:hAnsiTheme="minorEastAsia"/>
                <w:sz w:val="24"/>
              </w:rPr>
              <w:t>聚焦企业生产制造主要流程，</w:t>
            </w:r>
            <w:r>
              <w:rPr>
                <w:rFonts w:asciiTheme="minorEastAsia" w:hAnsiTheme="minorEastAsia"/>
                <w:sz w:val="24"/>
              </w:rPr>
              <w:t>痛点问题描述清晰、应用场景明确</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有针对企业上下游协同合作、供应链管理等方面的痛点和对应解决方案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24"/>
              </w:rPr>
            </w:pPr>
            <w:r>
              <w:rPr>
                <w:rFonts w:hint="eastAsia" w:asciiTheme="minorEastAsia" w:hAnsiTheme="minorEastAsia"/>
                <w:sz w:val="24"/>
              </w:rPr>
              <w:t>拟购买SaaS应用场景产品</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有即得分</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根据产品数量进行加分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拟加购其他云服务产品</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有即得分</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asciiTheme="minorEastAsia" w:hAnsiTheme="minorEastAsia"/>
                <w:sz w:val="24"/>
              </w:rPr>
              <w:t>获得县级以上资质证明、荣誉证书</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有即得分</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rPr>
            </w:pPr>
            <w:r>
              <w:rPr>
                <w:rFonts w:asciiTheme="minorEastAsia" w:hAnsiTheme="minorEastAsia"/>
                <w:sz w:val="24"/>
              </w:rPr>
              <w:t>获得市级以上资质、荣誉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r>
              <w:rPr>
                <w:rFonts w:hint="eastAsia" w:asciiTheme="minorEastAsia" w:hAnsiTheme="minorEastAsia"/>
                <w:sz w:val="24"/>
              </w:rPr>
              <w:t>（二）项目情况及总体绩效目标</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asciiTheme="minorEastAsia" w:hAnsiTheme="minorEastAsia"/>
                <w:sz w:val="24"/>
              </w:rPr>
              <w:t>工业互联网要素</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车间具有良好的数据采集和应用基础，具备数字化生产线的基本要求，数字化设备数量占生产装备总数量不低于60%，设备联网率不低于60%</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rPr>
            </w:pPr>
            <w:r>
              <w:rPr>
                <w:rFonts w:hint="eastAsia" w:asciiTheme="minorEastAsia" w:hAnsiTheme="minorEastAsia"/>
                <w:sz w:val="24"/>
              </w:rPr>
              <w:t>通过信息化系统（如MES、MOM）优化企业生产制造管理模式，已实现或承诺建立统一的信息管理平台，并实现生产系统的实时监控，以数字化手段，实现工厂生产流程的闭环管理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项目方案合理性</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rPr>
            </w:pPr>
            <w:r>
              <w:rPr>
                <w:rFonts w:hint="eastAsia" w:asciiTheme="minorEastAsia" w:hAnsiTheme="minorEastAsia"/>
                <w:sz w:val="24"/>
              </w:rPr>
              <w:t>有主要内容、实施路线及可行性。从低成本、快部署、可集成等方向介绍与其他方案的对比的优点和难点</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rPr>
            </w:pPr>
            <w:r>
              <w:rPr>
                <w:rFonts w:hint="eastAsia" w:asciiTheme="minorEastAsia" w:hAnsiTheme="minorEastAsia"/>
                <w:sz w:val="24"/>
              </w:rPr>
              <w:t>（1）项目有任务和目标、人员组织构成、项目实施时间安排合理</w:t>
            </w:r>
          </w:p>
          <w:p>
            <w:pPr>
              <w:jc w:val="left"/>
              <w:rPr>
                <w:rFonts w:ascii="宋体" w:hAnsi="宋体" w:eastAsia="宋体" w:cs="宋体"/>
                <w:sz w:val="24"/>
              </w:rPr>
            </w:pPr>
            <w:r>
              <w:rPr>
                <w:rFonts w:hint="eastAsia" w:asciiTheme="minorEastAsia" w:hAnsiTheme="minorEastAsia"/>
                <w:sz w:val="24"/>
              </w:rPr>
              <w:t>（2）项目有资金保障情况及项目风险分析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asciiTheme="minorEastAsia" w:hAnsiTheme="minorEastAsia"/>
                <w:sz w:val="24"/>
              </w:rPr>
              <w:t>企业实施效果</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承诺生产经营关键环节数据的集成、分析和创新应用</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承诺在上下游企业关键生产数据互联互通，提升安全性和可控性，在设计制造协同、柔性生产、生产管理优化、质量控制、供应链协同、制造能力交易等方面有预期提升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asciiTheme="minorEastAsia" w:hAnsiTheme="minorEastAsia"/>
                <w:sz w:val="24"/>
              </w:rPr>
              <w:t>经济社会效益</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项目在实施前后整体数字化转型升级有预期成效和效果，提出不少于3项可量化、可考核的经济社会效益指标</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1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示范效益</w:t>
            </w:r>
          </w:p>
        </w:tc>
        <w:tc>
          <w:tcPr>
            <w:tcW w:w="28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解决行业的共性痛点问题，描述可在行业领域内复制推广的通用解决方案，</w:t>
            </w:r>
            <w:r>
              <w:rPr>
                <w:rFonts w:asciiTheme="minorEastAsia" w:hAnsiTheme="minorEastAsia"/>
                <w:sz w:val="24"/>
              </w:rPr>
              <w:t xml:space="preserve"> </w:t>
            </w:r>
            <w:r>
              <w:rPr>
                <w:rFonts w:hint="eastAsia" w:asciiTheme="minorEastAsia" w:hAnsiTheme="minorEastAsia"/>
                <w:sz w:val="24"/>
              </w:rPr>
              <w:t>解决方案推广场景</w:t>
            </w:r>
          </w:p>
        </w:tc>
        <w:tc>
          <w:tcPr>
            <w:tcW w:w="2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能带动产业链上下游协同优化</w:t>
            </w:r>
          </w:p>
        </w:tc>
      </w:tr>
    </w:tbl>
    <w:p>
      <w:pPr>
        <w:spacing w:line="560" w:lineRule="exact"/>
        <w:ind w:firstLine="640" w:firstLineChars="200"/>
        <w:rPr>
          <w:rFonts w:ascii="Times New Roman" w:hAnsi="Times New Roman" w:eastAsia="黑体" w:cs="Times New Roman"/>
          <w:sz w:val="32"/>
          <w:szCs w:val="32"/>
          <w:lang w:bidi="ar"/>
        </w:rPr>
      </w:pPr>
    </w:p>
    <w:p>
      <w:pPr>
        <w:widowControl/>
        <w:jc w:val="left"/>
        <w:rPr>
          <w:rFonts w:ascii="Times New Roman" w:hAnsi="Times New Roman" w:eastAsia="黑体" w:cs="Times New Roman"/>
          <w:sz w:val="32"/>
          <w:szCs w:val="32"/>
          <w:lang w:bidi="ar"/>
        </w:rPr>
      </w:pPr>
      <w:r>
        <w:rPr>
          <w:rFonts w:ascii="Times New Roman" w:hAnsi="Times New Roman" w:eastAsia="黑体" w:cs="Times New Roman"/>
          <w:sz w:val="32"/>
          <w:szCs w:val="32"/>
          <w:lang w:bidi="ar"/>
        </w:rPr>
        <w:br w:type="page"/>
      </w:r>
    </w:p>
    <w:p>
      <w:pPr>
        <w:spacing w:line="560" w:lineRule="exact"/>
        <w:ind w:firstLine="640" w:firstLineChars="200"/>
        <w:rPr>
          <w:rFonts w:ascii="Times New Roman" w:hAnsi="Times New Roman" w:eastAsia="黑体" w:cs="Times New Roman"/>
          <w:sz w:val="32"/>
          <w:szCs w:val="32"/>
          <w:lang w:bidi="ar"/>
        </w:rPr>
      </w:pPr>
      <w:r>
        <w:rPr>
          <w:rFonts w:hint="eastAsia" w:ascii="Times New Roman" w:hAnsi="Times New Roman" w:eastAsia="黑体" w:cs="Times New Roman"/>
          <w:sz w:val="32"/>
          <w:szCs w:val="32"/>
          <w:lang w:bidi="ar"/>
        </w:rPr>
        <w:t>二、202</w:t>
      </w:r>
      <w:r>
        <w:rPr>
          <w:rFonts w:ascii="Times New Roman" w:hAnsi="Times New Roman" w:eastAsia="黑体" w:cs="Times New Roman"/>
          <w:sz w:val="32"/>
          <w:szCs w:val="32"/>
          <w:lang w:bidi="ar"/>
        </w:rPr>
        <w:t>4</w:t>
      </w:r>
      <w:r>
        <w:rPr>
          <w:rFonts w:hint="eastAsia" w:ascii="Times New Roman" w:hAnsi="Times New Roman" w:eastAsia="黑体" w:cs="Times New Roman"/>
          <w:sz w:val="32"/>
          <w:szCs w:val="32"/>
          <w:lang w:bidi="ar"/>
        </w:rPr>
        <w:t>年江门市工业互联网中小企业上云上平台专项资金评审指标体系</w:t>
      </w:r>
    </w:p>
    <w:p>
      <w:pPr>
        <w:jc w:val="left"/>
        <w:rPr>
          <w:b/>
          <w:sz w:val="28"/>
          <w:szCs w:val="28"/>
        </w:rPr>
      </w:pPr>
      <w:r>
        <w:rPr>
          <w:rFonts w:hint="eastAsia"/>
          <w:b/>
          <w:sz w:val="28"/>
          <w:szCs w:val="28"/>
        </w:rPr>
        <w:t>一、基本情况评审</w:t>
      </w:r>
    </w:p>
    <w:tbl>
      <w:tblPr>
        <w:tblStyle w:val="4"/>
        <w:tblpPr w:leftFromText="180" w:rightFromText="180" w:vertAnchor="text" w:horzAnchor="page" w:tblpX="1791" w:tblpY="640"/>
        <w:tblOverlap w:val="never"/>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30"/>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754"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序号</w:t>
            </w:r>
          </w:p>
        </w:tc>
        <w:tc>
          <w:tcPr>
            <w:tcW w:w="1230"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评审因素</w:t>
            </w:r>
          </w:p>
        </w:tc>
        <w:tc>
          <w:tcPr>
            <w:tcW w:w="7290"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4" w:type="dxa"/>
            <w:vAlign w:val="center"/>
          </w:tcPr>
          <w:p>
            <w:pPr>
              <w:jc w:val="center"/>
              <w:rPr>
                <w:rFonts w:asciiTheme="minorEastAsia" w:hAnsiTheme="minorEastAsia"/>
                <w:sz w:val="24"/>
              </w:rPr>
            </w:pPr>
            <w:r>
              <w:rPr>
                <w:rFonts w:hint="eastAsia" w:asciiTheme="minorEastAsia" w:hAnsiTheme="minorEastAsia"/>
                <w:sz w:val="24"/>
              </w:rPr>
              <w:t>1</w:t>
            </w:r>
          </w:p>
        </w:tc>
        <w:tc>
          <w:tcPr>
            <w:tcW w:w="1230" w:type="dxa"/>
            <w:vMerge w:val="restart"/>
            <w:vAlign w:val="center"/>
          </w:tcPr>
          <w:p>
            <w:pPr>
              <w:rPr>
                <w:rFonts w:asciiTheme="minorEastAsia" w:hAnsiTheme="minorEastAsia"/>
                <w:sz w:val="24"/>
              </w:rPr>
            </w:pPr>
            <w:r>
              <w:rPr>
                <w:rFonts w:hint="eastAsia" w:asciiTheme="minorEastAsia" w:hAnsiTheme="minorEastAsia"/>
                <w:sz w:val="24"/>
              </w:rPr>
              <w:t>营业执照复印件</w:t>
            </w:r>
          </w:p>
        </w:tc>
        <w:tc>
          <w:tcPr>
            <w:tcW w:w="7290" w:type="dxa"/>
            <w:vAlign w:val="center"/>
          </w:tcPr>
          <w:p>
            <w:pPr>
              <w:rPr>
                <w:rFonts w:asciiTheme="minorEastAsia" w:hAnsiTheme="minorEastAsia"/>
                <w:sz w:val="24"/>
              </w:rPr>
            </w:pPr>
            <w:r>
              <w:rPr>
                <w:rFonts w:hint="eastAsia" w:asciiTheme="minorEastAsia" w:hAnsiTheme="minorEastAsia"/>
                <w:sz w:val="24"/>
              </w:rPr>
              <w:t>在江门市行政区域内依法注册（或登记）、成立时间满1年的独立法人企业（截至企业申请本奖补日期）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4" w:type="dxa"/>
            <w:vAlign w:val="center"/>
          </w:tcPr>
          <w:p>
            <w:pPr>
              <w:jc w:val="center"/>
              <w:rPr>
                <w:rFonts w:asciiTheme="minorEastAsia" w:hAnsiTheme="minorEastAsia"/>
                <w:sz w:val="24"/>
              </w:rPr>
            </w:pPr>
            <w:r>
              <w:rPr>
                <w:rFonts w:hint="eastAsia" w:asciiTheme="minorEastAsia" w:hAnsiTheme="minorEastAsia"/>
                <w:sz w:val="24"/>
              </w:rPr>
              <w:t>2</w:t>
            </w:r>
          </w:p>
        </w:tc>
        <w:tc>
          <w:tcPr>
            <w:tcW w:w="1230" w:type="dxa"/>
            <w:vMerge w:val="continue"/>
            <w:vAlign w:val="center"/>
          </w:tcPr>
          <w:p>
            <w:pPr>
              <w:jc w:val="left"/>
              <w:rPr>
                <w:rFonts w:asciiTheme="minorEastAsia" w:hAnsiTheme="minorEastAsia"/>
                <w:sz w:val="24"/>
              </w:rPr>
            </w:pPr>
          </w:p>
        </w:tc>
        <w:tc>
          <w:tcPr>
            <w:tcW w:w="7290" w:type="dxa"/>
            <w:vAlign w:val="center"/>
          </w:tcPr>
          <w:p>
            <w:pPr>
              <w:rPr>
                <w:rFonts w:asciiTheme="minorEastAsia" w:hAnsiTheme="minorEastAsia"/>
                <w:sz w:val="24"/>
              </w:rPr>
            </w:pPr>
            <w:r>
              <w:rPr>
                <w:rFonts w:hint="eastAsia" w:asciiTheme="minorEastAsia" w:hAnsiTheme="minorEastAsia"/>
                <w:sz w:val="24"/>
              </w:rPr>
              <w:t>近三年内企业获各级财政资金支持项目执行情况良好，在相关绩效评价和监督检查中未出现违规、违法问题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4" w:type="dxa"/>
            <w:vAlign w:val="center"/>
          </w:tcPr>
          <w:p>
            <w:pPr>
              <w:jc w:val="center"/>
              <w:rPr>
                <w:rFonts w:asciiTheme="minorEastAsia" w:hAnsiTheme="minorEastAsia"/>
                <w:sz w:val="24"/>
              </w:rPr>
            </w:pPr>
            <w:r>
              <w:rPr>
                <w:rFonts w:hint="eastAsia" w:asciiTheme="minorEastAsia" w:hAnsiTheme="minorEastAsia"/>
                <w:sz w:val="24"/>
              </w:rPr>
              <w:t>3</w:t>
            </w:r>
          </w:p>
        </w:tc>
        <w:tc>
          <w:tcPr>
            <w:tcW w:w="1230" w:type="dxa"/>
            <w:vMerge w:val="continue"/>
            <w:vAlign w:val="center"/>
          </w:tcPr>
          <w:p>
            <w:pPr>
              <w:jc w:val="left"/>
              <w:rPr>
                <w:rFonts w:asciiTheme="minorEastAsia" w:hAnsiTheme="minorEastAsia"/>
                <w:sz w:val="24"/>
              </w:rPr>
            </w:pPr>
          </w:p>
        </w:tc>
        <w:tc>
          <w:tcPr>
            <w:tcW w:w="7290" w:type="dxa"/>
            <w:vAlign w:val="center"/>
          </w:tcPr>
          <w:p>
            <w:pPr>
              <w:rPr>
                <w:rFonts w:asciiTheme="minorEastAsia" w:hAnsiTheme="minorEastAsia"/>
                <w:sz w:val="24"/>
              </w:rPr>
            </w:pPr>
            <w:r>
              <w:rPr>
                <w:rFonts w:hint="eastAsia" w:asciiTheme="minorEastAsia" w:hAnsiTheme="minorEastAsia"/>
                <w:sz w:val="24"/>
              </w:rPr>
              <w:t>近三年内企业获各级财政资金支持项目执行情况良好，在相关绩效评价和监督检查中未出现违规、违法问题</w:t>
            </w:r>
          </w:p>
          <w:p>
            <w:pPr>
              <w:rPr>
                <w:rFonts w:asciiTheme="minorEastAsia" w:hAnsiTheme="minorEastAsia"/>
                <w:sz w:val="24"/>
              </w:rPr>
            </w:pPr>
            <w:r>
              <w:rPr>
                <w:rFonts w:hint="eastAsia" w:asciiTheme="minorEastAsia" w:hAnsiTheme="minorEastAsia"/>
                <w:sz w:val="24"/>
              </w:rPr>
              <w:t>近三年内信用良好（没有被纳入经营异常名录或严重违法失信企业名单），未发生重大安全、环保、质量事故;</w:t>
            </w:r>
          </w:p>
          <w:p>
            <w:pPr>
              <w:rPr>
                <w:rFonts w:asciiTheme="minorEastAsia" w:hAnsiTheme="minorEastAsia"/>
                <w:sz w:val="24"/>
              </w:rPr>
            </w:pPr>
            <w:r>
              <w:rPr>
                <w:rFonts w:hint="eastAsia" w:asciiTheme="minorEastAsia" w:hAnsiTheme="minorEastAsia"/>
                <w:sz w:val="24"/>
              </w:rPr>
              <w:t xml:space="preserve"> 提供“信用中国”网站查验报告【评审当天，由专家组在“信用中国”网站（https://www.creditchina.gov.cn）查询结果。】</w:t>
            </w:r>
          </w:p>
          <w:p>
            <w:pPr>
              <w:rPr>
                <w:rFonts w:asciiTheme="minorEastAsia" w:hAnsiTheme="minorEastAsia"/>
                <w:sz w:val="24"/>
              </w:rPr>
            </w:pPr>
            <w:r>
              <w:rPr>
                <w:rFonts w:hint="eastAsia" w:asciiTheme="minorEastAsia" w:hAnsiTheme="minorEastAsia"/>
                <w:sz w:val="24"/>
              </w:rPr>
              <w:t>提供制造业企业数字化水平评测结果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4" w:type="dxa"/>
            <w:vAlign w:val="center"/>
          </w:tcPr>
          <w:p>
            <w:pPr>
              <w:jc w:val="center"/>
              <w:rPr>
                <w:rFonts w:asciiTheme="minorEastAsia" w:hAnsiTheme="minorEastAsia"/>
                <w:sz w:val="24"/>
              </w:rPr>
            </w:pPr>
            <w:r>
              <w:rPr>
                <w:rFonts w:hint="eastAsia" w:asciiTheme="minorEastAsia" w:hAnsiTheme="minorEastAsia"/>
                <w:sz w:val="24"/>
              </w:rPr>
              <w:t>4</w:t>
            </w:r>
          </w:p>
        </w:tc>
        <w:tc>
          <w:tcPr>
            <w:tcW w:w="1230" w:type="dxa"/>
            <w:vMerge w:val="continue"/>
            <w:vAlign w:val="center"/>
          </w:tcPr>
          <w:p>
            <w:pPr>
              <w:jc w:val="left"/>
              <w:rPr>
                <w:rFonts w:asciiTheme="minorEastAsia" w:hAnsiTheme="minorEastAsia"/>
                <w:sz w:val="24"/>
              </w:rPr>
            </w:pPr>
          </w:p>
        </w:tc>
        <w:tc>
          <w:tcPr>
            <w:tcW w:w="7290" w:type="dxa"/>
            <w:vAlign w:val="center"/>
          </w:tcPr>
          <w:p>
            <w:pPr>
              <w:rPr>
                <w:rFonts w:asciiTheme="minorEastAsia" w:hAnsiTheme="minorEastAsia"/>
                <w:sz w:val="24"/>
              </w:rPr>
            </w:pPr>
            <w:r>
              <w:rPr>
                <w:rFonts w:hint="eastAsia" w:asciiTheme="minorEastAsia" w:hAnsiTheme="minorEastAsia"/>
                <w:sz w:val="24"/>
              </w:rPr>
              <w:t>申报项目未获得过其他财政资金支持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54" w:type="dxa"/>
            <w:vAlign w:val="center"/>
          </w:tcPr>
          <w:p>
            <w:pPr>
              <w:jc w:val="center"/>
              <w:rPr>
                <w:rFonts w:asciiTheme="minorEastAsia" w:hAnsiTheme="minorEastAsia"/>
                <w:sz w:val="24"/>
              </w:rPr>
            </w:pPr>
            <w:r>
              <w:rPr>
                <w:rFonts w:hint="eastAsia" w:asciiTheme="minorEastAsia" w:hAnsiTheme="minorEastAsia"/>
                <w:sz w:val="24"/>
              </w:rPr>
              <w:t>5</w:t>
            </w:r>
          </w:p>
        </w:tc>
        <w:tc>
          <w:tcPr>
            <w:tcW w:w="1230" w:type="dxa"/>
            <w:vAlign w:val="center"/>
          </w:tcPr>
          <w:p>
            <w:pPr>
              <w:jc w:val="left"/>
              <w:rPr>
                <w:rFonts w:asciiTheme="minorEastAsia" w:hAnsiTheme="minorEastAsia"/>
                <w:sz w:val="24"/>
              </w:rPr>
            </w:pPr>
            <w:r>
              <w:rPr>
                <w:rFonts w:asciiTheme="minorEastAsia" w:hAnsiTheme="minorEastAsia"/>
                <w:sz w:val="24"/>
              </w:rPr>
              <w:t>申报信息表</w:t>
            </w:r>
          </w:p>
        </w:tc>
        <w:tc>
          <w:tcPr>
            <w:tcW w:w="7290" w:type="dxa"/>
            <w:vAlign w:val="center"/>
          </w:tcPr>
          <w:p>
            <w:pPr>
              <w:rPr>
                <w:rFonts w:asciiTheme="minorEastAsia" w:hAnsiTheme="minorEastAsia"/>
                <w:sz w:val="24"/>
              </w:rPr>
            </w:pPr>
            <w:r>
              <w:rPr>
                <w:rFonts w:hint="eastAsia" w:asciiTheme="minorEastAsia" w:hAnsiTheme="minorEastAsia"/>
                <w:sz w:val="24"/>
              </w:rPr>
              <w:t>重点支持企业购买研发设计、生产管控、供应链管理、经营销售管理、售后服务等五类工业SaaS应用场景服务，包括但不限于IOT、EAM、EMS、MES、MOM、PLM、SCM、SRM、WMS、CAE、PDM、ERP、泛互联网功能等应用产品，提供从企业研发设计、生产制造、供应物流、销售管理、财务管理、设备管理、工艺优化、能耗管理、智能检测等工业云软件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vAlign w:val="center"/>
          </w:tcPr>
          <w:p>
            <w:pPr>
              <w:jc w:val="center"/>
              <w:rPr>
                <w:rFonts w:asciiTheme="minorEastAsia" w:hAnsiTheme="minorEastAsia"/>
                <w:sz w:val="24"/>
              </w:rPr>
            </w:pPr>
            <w:r>
              <w:rPr>
                <w:rFonts w:hint="eastAsia" w:asciiTheme="minorEastAsia" w:hAnsiTheme="minorEastAsia"/>
                <w:sz w:val="24"/>
              </w:rPr>
              <w:t>6</w:t>
            </w:r>
          </w:p>
        </w:tc>
        <w:tc>
          <w:tcPr>
            <w:tcW w:w="1230" w:type="dxa"/>
            <w:vAlign w:val="center"/>
          </w:tcPr>
          <w:p>
            <w:pPr>
              <w:jc w:val="left"/>
              <w:rPr>
                <w:rFonts w:asciiTheme="minorEastAsia" w:hAnsiTheme="minorEastAsia"/>
                <w:sz w:val="24"/>
              </w:rPr>
            </w:pPr>
            <w:r>
              <w:rPr>
                <w:rFonts w:hint="eastAsia" w:asciiTheme="minorEastAsia" w:hAnsiTheme="minorEastAsia"/>
                <w:sz w:val="24"/>
              </w:rPr>
              <w:t>审计报告</w:t>
            </w:r>
          </w:p>
        </w:tc>
        <w:tc>
          <w:tcPr>
            <w:tcW w:w="7290" w:type="dxa"/>
            <w:vAlign w:val="center"/>
          </w:tcPr>
          <w:p>
            <w:pPr>
              <w:rPr>
                <w:rFonts w:asciiTheme="minorEastAsia" w:hAnsiTheme="minorEastAsia"/>
                <w:sz w:val="24"/>
              </w:rPr>
            </w:pPr>
            <w:r>
              <w:rPr>
                <w:rFonts w:hint="eastAsia" w:asciiTheme="minorEastAsia" w:hAnsiTheme="minorEastAsia"/>
                <w:sz w:val="24"/>
              </w:rPr>
              <w:t>企业经会计事务所审计的202</w:t>
            </w:r>
            <w:r>
              <w:rPr>
                <w:rFonts w:asciiTheme="minorEastAsia" w:hAnsiTheme="minorEastAsia"/>
                <w:sz w:val="24"/>
              </w:rPr>
              <w:t>3</w:t>
            </w:r>
            <w:r>
              <w:rPr>
                <w:rFonts w:hint="eastAsia" w:asciiTheme="minorEastAsia" w:hAnsiTheme="minorEastAsia"/>
                <w:sz w:val="24"/>
              </w:rPr>
              <w:t>年财务审计报告或有资质中介机构出具的202</w:t>
            </w:r>
            <w:r>
              <w:rPr>
                <w:rFonts w:asciiTheme="minorEastAsia" w:hAnsiTheme="minorEastAsia"/>
                <w:sz w:val="24"/>
              </w:rPr>
              <w:t>3</w:t>
            </w:r>
            <w:r>
              <w:rPr>
                <w:rFonts w:hint="eastAsia" w:asciiTheme="minorEastAsia" w:hAnsiTheme="minorEastAsia"/>
                <w:sz w:val="24"/>
              </w:rPr>
              <w:t>年企业所得税汇算清缴报告，及近6个月财务报表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54" w:type="dxa"/>
            <w:vAlign w:val="center"/>
          </w:tcPr>
          <w:p>
            <w:pPr>
              <w:jc w:val="center"/>
              <w:rPr>
                <w:rFonts w:asciiTheme="minorEastAsia" w:hAnsiTheme="minorEastAsia"/>
                <w:sz w:val="24"/>
              </w:rPr>
            </w:pPr>
            <w:r>
              <w:rPr>
                <w:rFonts w:asciiTheme="minorEastAsia" w:hAnsiTheme="minorEastAsia"/>
                <w:sz w:val="24"/>
              </w:rPr>
              <w:t>7</w:t>
            </w:r>
          </w:p>
        </w:tc>
        <w:tc>
          <w:tcPr>
            <w:tcW w:w="1230" w:type="dxa"/>
            <w:vAlign w:val="center"/>
          </w:tcPr>
          <w:p>
            <w:pPr>
              <w:rPr>
                <w:rFonts w:asciiTheme="minorEastAsia" w:hAnsiTheme="minorEastAsia"/>
                <w:sz w:val="24"/>
              </w:rPr>
            </w:pPr>
            <w:r>
              <w:rPr>
                <w:rFonts w:hint="eastAsia" w:asciiTheme="minorEastAsia" w:hAnsiTheme="minorEastAsia"/>
                <w:sz w:val="24"/>
              </w:rPr>
              <w:t>承诺函</w:t>
            </w:r>
          </w:p>
        </w:tc>
        <w:tc>
          <w:tcPr>
            <w:tcW w:w="7290" w:type="dxa"/>
            <w:vAlign w:val="center"/>
          </w:tcPr>
          <w:p>
            <w:pPr>
              <w:rPr>
                <w:rFonts w:asciiTheme="minorEastAsia" w:hAnsiTheme="minorEastAsia"/>
                <w:sz w:val="24"/>
              </w:rPr>
            </w:pPr>
            <w:r>
              <w:rPr>
                <w:rFonts w:hint="eastAsia" w:asciiTheme="minorEastAsia" w:hAnsiTheme="minorEastAsia"/>
                <w:sz w:val="24"/>
              </w:rPr>
              <w:t>《202</w:t>
            </w:r>
            <w:r>
              <w:rPr>
                <w:rFonts w:asciiTheme="minorEastAsia" w:hAnsiTheme="minorEastAsia"/>
                <w:sz w:val="24"/>
              </w:rPr>
              <w:t>4</w:t>
            </w:r>
            <w:r>
              <w:rPr>
                <w:rFonts w:hint="eastAsia" w:asciiTheme="minorEastAsia" w:hAnsiTheme="minorEastAsia"/>
                <w:sz w:val="24"/>
              </w:rPr>
              <w:t>年江门市工业互联网中小企业上云上平台责任承诺函》须有盖章和签署日期</w:t>
            </w:r>
          </w:p>
        </w:tc>
      </w:tr>
    </w:tbl>
    <w:p>
      <w:pPr>
        <w:jc w:val="left"/>
        <w:rPr>
          <w:rFonts w:asciiTheme="minorEastAsia" w:hAnsiTheme="minorEastAsia" w:cstheme="minorEastAsia"/>
          <w:b/>
          <w:sz w:val="24"/>
        </w:rPr>
      </w:pPr>
      <w:r>
        <w:rPr>
          <w:rFonts w:hint="eastAsia" w:asciiTheme="minorEastAsia" w:hAnsiTheme="minorEastAsia" w:cstheme="minorEastAsia"/>
          <w:b/>
          <w:sz w:val="24"/>
        </w:rPr>
        <w:t>说明：</w:t>
      </w:r>
    </w:p>
    <w:p>
      <w:pPr>
        <w:jc w:val="left"/>
        <w:rPr>
          <w:rFonts w:asciiTheme="minorEastAsia" w:hAnsiTheme="minorEastAsia" w:cstheme="minorEastAsia"/>
          <w:b/>
          <w:sz w:val="24"/>
        </w:rPr>
      </w:pPr>
      <w:r>
        <w:rPr>
          <w:rFonts w:hint="eastAsia" w:asciiTheme="minorEastAsia" w:hAnsiTheme="minorEastAsia" w:cstheme="minorEastAsia"/>
          <w:b/>
          <w:sz w:val="24"/>
        </w:rPr>
        <w:t>1、基本情况评审实行一票否决项，针对每一项内容进行“符合”“不符合”审查，出现一个“不符合”的结论为“不通过”。</w:t>
      </w:r>
    </w:p>
    <w:p>
      <w:pPr>
        <w:jc w:val="left"/>
        <w:rPr>
          <w:rFonts w:asciiTheme="minorEastAsia" w:hAnsiTheme="minorEastAsia" w:cstheme="minorEastAsia"/>
          <w:b/>
          <w:sz w:val="24"/>
        </w:rPr>
      </w:pPr>
      <w:r>
        <w:rPr>
          <w:rFonts w:hint="eastAsia" w:asciiTheme="minorEastAsia" w:hAnsiTheme="minorEastAsia" w:cstheme="minorEastAsia"/>
          <w:b/>
          <w:sz w:val="24"/>
        </w:rPr>
        <w:t>2、对于每一项评审内容实行少数服从多数的原则进行统计，超过半数评委认为符合的，则该项的结果为符合，否则为不符合。</w:t>
      </w:r>
    </w:p>
    <w:p>
      <w:pPr>
        <w:jc w:val="left"/>
        <w:rPr>
          <w:rFonts w:asciiTheme="minorEastAsia" w:hAnsiTheme="minorEastAsia" w:cstheme="minorEastAsia"/>
          <w:b/>
          <w:sz w:val="24"/>
        </w:rPr>
      </w:pPr>
      <w:r>
        <w:rPr>
          <w:rFonts w:hint="eastAsia" w:asciiTheme="minorEastAsia" w:hAnsiTheme="minorEastAsia" w:cstheme="minorEastAsia"/>
          <w:b/>
          <w:sz w:val="24"/>
        </w:rPr>
        <w:t>3、申报单位为“不通过”的结论，不用进行专业指标评审。</w:t>
      </w:r>
    </w:p>
    <w:p>
      <w:pPr>
        <w:jc w:val="left"/>
        <w:rPr>
          <w:rFonts w:ascii="Times New Roman" w:hAnsi="Times New Roman" w:eastAsia="楷体_GB2312" w:cs="Times New Roman"/>
          <w:bCs/>
          <w:sz w:val="32"/>
          <w:szCs w:val="32"/>
          <w:lang w:bidi="ar"/>
        </w:rPr>
      </w:pPr>
      <w:r>
        <w:rPr>
          <w:rFonts w:hint="eastAsia" w:ascii="Times New Roman" w:hAnsi="Times New Roman" w:eastAsia="楷体_GB2312" w:cs="Times New Roman"/>
          <w:bCs/>
          <w:sz w:val="32"/>
          <w:szCs w:val="32"/>
          <w:lang w:bidi="ar"/>
        </w:rPr>
        <w:t>（二）专业指标评审（采用综合评分法，满分</w:t>
      </w:r>
      <w:r>
        <w:rPr>
          <w:rFonts w:ascii="Times New Roman" w:hAnsi="Times New Roman" w:eastAsia="楷体_GB2312" w:cs="Times New Roman"/>
          <w:bCs/>
          <w:sz w:val="32"/>
          <w:szCs w:val="32"/>
          <w:lang w:bidi="ar"/>
        </w:rPr>
        <w:t>100</w:t>
      </w:r>
      <w:r>
        <w:rPr>
          <w:rFonts w:hint="eastAsia" w:ascii="Times New Roman" w:hAnsi="Times New Roman" w:eastAsia="楷体_GB2312" w:cs="Times New Roman"/>
          <w:bCs/>
          <w:sz w:val="32"/>
          <w:szCs w:val="32"/>
          <w:lang w:bidi="ar"/>
        </w:rPr>
        <w:t>分）</w:t>
      </w:r>
    </w:p>
    <w:tbl>
      <w:tblPr>
        <w:tblStyle w:val="4"/>
        <w:tblpPr w:leftFromText="180" w:rightFromText="180" w:vertAnchor="text" w:horzAnchor="page" w:tblpX="1686" w:tblpY="634"/>
        <w:tblOverlap w:val="never"/>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510"/>
        <w:gridCol w:w="2741"/>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trPr>
        <w:tc>
          <w:tcPr>
            <w:tcW w:w="1123"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序号</w:t>
            </w:r>
          </w:p>
        </w:tc>
        <w:tc>
          <w:tcPr>
            <w:tcW w:w="1510"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评审内容</w:t>
            </w:r>
          </w:p>
        </w:tc>
        <w:tc>
          <w:tcPr>
            <w:tcW w:w="2741"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基本分</w:t>
            </w:r>
          </w:p>
        </w:tc>
        <w:tc>
          <w:tcPr>
            <w:tcW w:w="3342" w:type="dxa"/>
            <w:shd w:val="clear" w:color="auto" w:fill="D8D8D8" w:themeFill="background1" w:themeFillShade="D9"/>
            <w:vAlign w:val="center"/>
          </w:tcPr>
          <w:p>
            <w:pPr>
              <w:jc w:val="center"/>
              <w:rPr>
                <w:rFonts w:asciiTheme="minorEastAsia" w:hAnsiTheme="minorEastAsia"/>
                <w:b/>
                <w:sz w:val="24"/>
              </w:rPr>
            </w:pPr>
            <w:r>
              <w:rPr>
                <w:rFonts w:hint="eastAsia" w:asciiTheme="minorEastAsia" w:hAnsiTheme="minorEastAsia"/>
                <w:b/>
                <w:sz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23" w:type="dxa"/>
            <w:vMerge w:val="restart"/>
            <w:vAlign w:val="center"/>
          </w:tcPr>
          <w:p>
            <w:pPr>
              <w:rPr>
                <w:rFonts w:asciiTheme="minorEastAsia" w:hAnsiTheme="minorEastAsia"/>
                <w:sz w:val="24"/>
              </w:rPr>
            </w:pPr>
            <w:r>
              <w:rPr>
                <w:rFonts w:hint="eastAsia" w:asciiTheme="minorEastAsia" w:hAnsiTheme="minorEastAsia"/>
                <w:sz w:val="24"/>
              </w:rPr>
              <w:t>（一）项目基本情况</w:t>
            </w:r>
          </w:p>
        </w:tc>
        <w:tc>
          <w:tcPr>
            <w:tcW w:w="1510" w:type="dxa"/>
            <w:vAlign w:val="center"/>
          </w:tcPr>
          <w:p>
            <w:pPr>
              <w:rPr>
                <w:sz w:val="24"/>
              </w:rPr>
            </w:pPr>
            <w:r>
              <w:rPr>
                <w:rFonts w:hint="eastAsia" w:asciiTheme="minorEastAsia" w:hAnsiTheme="minorEastAsia"/>
                <w:sz w:val="24"/>
              </w:rPr>
              <w:t>拟购买SaaS应用场景产品</w:t>
            </w:r>
          </w:p>
        </w:tc>
        <w:tc>
          <w:tcPr>
            <w:tcW w:w="2741" w:type="dxa"/>
            <w:vAlign w:val="center"/>
          </w:tcPr>
          <w:p>
            <w:pPr>
              <w:rPr>
                <w:rFonts w:asciiTheme="minorEastAsia" w:hAnsiTheme="minorEastAsia"/>
                <w:sz w:val="24"/>
              </w:rPr>
            </w:pPr>
            <w:r>
              <w:rPr>
                <w:rFonts w:hint="eastAsia" w:asciiTheme="minorEastAsia" w:hAnsiTheme="minorEastAsia"/>
                <w:sz w:val="24"/>
              </w:rPr>
              <w:t>有即得分</w:t>
            </w:r>
          </w:p>
        </w:tc>
        <w:tc>
          <w:tcPr>
            <w:tcW w:w="3342" w:type="dxa"/>
            <w:vAlign w:val="center"/>
          </w:tcPr>
          <w:p>
            <w:pPr>
              <w:rPr>
                <w:rFonts w:asciiTheme="minorEastAsia" w:hAnsiTheme="minorEastAsia"/>
                <w:sz w:val="24"/>
              </w:rPr>
            </w:pPr>
            <w:r>
              <w:rPr>
                <w:rFonts w:hint="eastAsia" w:asciiTheme="minorEastAsia" w:hAnsiTheme="minorEastAsia"/>
                <w:sz w:val="24"/>
              </w:rPr>
              <w:t>每超过一项SaaS应用场景产品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23" w:type="dxa"/>
            <w:vMerge w:val="continue"/>
            <w:vAlign w:val="center"/>
          </w:tcPr>
          <w:p>
            <w:pPr>
              <w:rPr>
                <w:rFonts w:asciiTheme="minorEastAsia" w:hAnsiTheme="minorEastAsia"/>
                <w:sz w:val="24"/>
              </w:rPr>
            </w:pPr>
          </w:p>
        </w:tc>
        <w:tc>
          <w:tcPr>
            <w:tcW w:w="1510" w:type="dxa"/>
            <w:vAlign w:val="center"/>
          </w:tcPr>
          <w:p>
            <w:pPr>
              <w:rPr>
                <w:rFonts w:asciiTheme="minorEastAsia" w:hAnsiTheme="minorEastAsia"/>
                <w:sz w:val="24"/>
              </w:rPr>
            </w:pPr>
            <w:r>
              <w:rPr>
                <w:rFonts w:hint="eastAsia" w:asciiTheme="minorEastAsia" w:hAnsiTheme="minorEastAsia"/>
                <w:sz w:val="24"/>
              </w:rPr>
              <w:t>拟加购其他云服务产品</w:t>
            </w:r>
          </w:p>
        </w:tc>
        <w:tc>
          <w:tcPr>
            <w:tcW w:w="2741" w:type="dxa"/>
            <w:vAlign w:val="center"/>
          </w:tcPr>
          <w:p>
            <w:pPr>
              <w:rPr>
                <w:rFonts w:asciiTheme="minorEastAsia" w:hAnsiTheme="minorEastAsia"/>
                <w:sz w:val="24"/>
              </w:rPr>
            </w:pPr>
            <w:r>
              <w:rPr>
                <w:rFonts w:hint="eastAsia" w:asciiTheme="minorEastAsia" w:hAnsiTheme="minorEastAsia"/>
                <w:sz w:val="24"/>
              </w:rPr>
              <w:t>有即得分</w:t>
            </w:r>
          </w:p>
        </w:tc>
        <w:tc>
          <w:tcPr>
            <w:tcW w:w="3342" w:type="dxa"/>
            <w:vAlign w:val="center"/>
          </w:tcPr>
          <w:p>
            <w:pPr>
              <w:jc w:val="center"/>
              <w:rPr>
                <w:rFonts w:asciiTheme="minorEastAsia" w:hAnsiTheme="minorEastAsia"/>
                <w:sz w:val="24"/>
              </w:rPr>
            </w:pP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23" w:type="dxa"/>
            <w:vMerge w:val="continue"/>
            <w:vAlign w:val="center"/>
          </w:tcPr>
          <w:p>
            <w:pPr>
              <w:rPr>
                <w:rFonts w:asciiTheme="minorEastAsia" w:hAnsiTheme="minorEastAsia"/>
                <w:sz w:val="24"/>
              </w:rPr>
            </w:pPr>
          </w:p>
        </w:tc>
        <w:tc>
          <w:tcPr>
            <w:tcW w:w="1510" w:type="dxa"/>
            <w:vAlign w:val="center"/>
          </w:tcPr>
          <w:p>
            <w:pPr>
              <w:rPr>
                <w:rFonts w:asciiTheme="minorEastAsia" w:hAnsiTheme="minorEastAsia"/>
                <w:sz w:val="24"/>
              </w:rPr>
            </w:pPr>
            <w:r>
              <w:rPr>
                <w:rFonts w:hint="eastAsia" w:asciiTheme="minorEastAsia" w:hAnsiTheme="minorEastAsia"/>
                <w:sz w:val="24"/>
              </w:rPr>
              <w:t>项目总投入额</w:t>
            </w:r>
          </w:p>
        </w:tc>
        <w:tc>
          <w:tcPr>
            <w:tcW w:w="2741" w:type="dxa"/>
            <w:vAlign w:val="center"/>
          </w:tcPr>
          <w:p>
            <w:pPr>
              <w:rPr>
                <w:rFonts w:asciiTheme="minorEastAsia" w:hAnsiTheme="minorEastAsia"/>
                <w:sz w:val="24"/>
              </w:rPr>
            </w:pPr>
            <w:r>
              <w:rPr>
                <w:rFonts w:hint="eastAsia" w:asciiTheme="minorEastAsia" w:hAnsiTheme="minorEastAsia"/>
                <w:sz w:val="24"/>
              </w:rPr>
              <w:t>达到</w:t>
            </w:r>
            <w:r>
              <w:rPr>
                <w:rFonts w:asciiTheme="minorEastAsia" w:hAnsiTheme="minorEastAsia"/>
                <w:sz w:val="24"/>
              </w:rPr>
              <w:t>15</w:t>
            </w:r>
            <w:r>
              <w:rPr>
                <w:rFonts w:hint="eastAsia" w:asciiTheme="minorEastAsia" w:hAnsiTheme="minorEastAsia"/>
                <w:sz w:val="24"/>
              </w:rPr>
              <w:t>万元（含）</w:t>
            </w:r>
          </w:p>
        </w:tc>
        <w:tc>
          <w:tcPr>
            <w:tcW w:w="3342" w:type="dxa"/>
            <w:vAlign w:val="center"/>
          </w:tcPr>
          <w:p>
            <w:pPr>
              <w:rPr>
                <w:rFonts w:asciiTheme="minorEastAsia" w:hAnsiTheme="minorEastAsia"/>
                <w:sz w:val="24"/>
              </w:rPr>
            </w:pPr>
            <w:r>
              <w:rPr>
                <w:rFonts w:hint="eastAsia" w:asciiTheme="minorEastAsia" w:hAnsiTheme="minorEastAsia"/>
                <w:sz w:val="24"/>
              </w:rPr>
              <w:t>自付费部分占比超过2</w:t>
            </w:r>
            <w:r>
              <w:rPr>
                <w:rFonts w:asciiTheme="minorEastAsia" w:hAnsiTheme="minorEastAsia"/>
                <w:sz w:val="24"/>
              </w:rPr>
              <w:t>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123" w:type="dxa"/>
            <w:vMerge w:val="continue"/>
            <w:vAlign w:val="center"/>
          </w:tcPr>
          <w:p>
            <w:pPr>
              <w:rPr>
                <w:rFonts w:asciiTheme="minorEastAsia" w:hAnsiTheme="minorEastAsia"/>
                <w:sz w:val="24"/>
              </w:rPr>
            </w:pPr>
          </w:p>
        </w:tc>
        <w:tc>
          <w:tcPr>
            <w:tcW w:w="1510" w:type="dxa"/>
            <w:vAlign w:val="center"/>
          </w:tcPr>
          <w:p>
            <w:pPr>
              <w:rPr>
                <w:rFonts w:asciiTheme="minorEastAsia" w:hAnsiTheme="minorEastAsia"/>
                <w:sz w:val="24"/>
              </w:rPr>
            </w:pPr>
            <w:r>
              <w:rPr>
                <w:rFonts w:asciiTheme="majorEastAsia" w:hAnsiTheme="majorEastAsia" w:eastAsiaTheme="majorEastAsia"/>
                <w:sz w:val="24"/>
              </w:rPr>
              <w:t>非应用产品</w:t>
            </w:r>
            <w:r>
              <w:rPr>
                <w:rFonts w:hint="eastAsia" w:asciiTheme="majorEastAsia" w:hAnsiTheme="majorEastAsia" w:eastAsiaTheme="majorEastAsia"/>
                <w:sz w:val="24"/>
              </w:rPr>
              <w:t>费用总额</w:t>
            </w:r>
          </w:p>
        </w:tc>
        <w:tc>
          <w:tcPr>
            <w:tcW w:w="2741" w:type="dxa"/>
            <w:vMerge w:val="restart"/>
            <w:vAlign w:val="center"/>
          </w:tcPr>
          <w:p>
            <w:pPr>
              <w:rPr>
                <w:rFonts w:asciiTheme="minorEastAsia" w:hAnsiTheme="minorEastAsia"/>
                <w:sz w:val="24"/>
              </w:rPr>
            </w:pPr>
            <w:r>
              <w:rPr>
                <w:rFonts w:asciiTheme="majorEastAsia" w:hAnsiTheme="majorEastAsia" w:eastAsiaTheme="majorEastAsia"/>
                <w:sz w:val="24"/>
              </w:rPr>
              <w:t>非应用产品费用</w:t>
            </w:r>
            <w:r>
              <w:rPr>
                <w:rFonts w:hint="eastAsia" w:asciiTheme="majorEastAsia" w:hAnsiTheme="majorEastAsia" w:eastAsiaTheme="majorEastAsia"/>
                <w:sz w:val="24"/>
              </w:rPr>
              <w:t>总额不超过该项目总投入费用的50%（一票否决）</w:t>
            </w:r>
          </w:p>
        </w:tc>
        <w:tc>
          <w:tcPr>
            <w:tcW w:w="3342" w:type="dxa"/>
            <w:vMerge w:val="restart"/>
            <w:vAlign w:val="center"/>
          </w:tcPr>
          <w:p>
            <w:pPr>
              <w:rPr>
                <w:rFonts w:asciiTheme="minorEastAsia" w:hAnsiTheme="minorEastAsia"/>
                <w:sz w:val="24"/>
              </w:rPr>
            </w:pPr>
            <w:r>
              <w:rPr>
                <w:rFonts w:asciiTheme="majorEastAsia" w:hAnsiTheme="majorEastAsia" w:eastAsiaTheme="majorEastAsia"/>
                <w:sz w:val="24"/>
              </w:rPr>
              <w:t>非应用产品费用</w:t>
            </w:r>
            <w:r>
              <w:rPr>
                <w:rFonts w:hint="eastAsia" w:asciiTheme="majorEastAsia" w:hAnsiTheme="majorEastAsia" w:eastAsiaTheme="majorEastAsia"/>
                <w:sz w:val="24"/>
              </w:rPr>
              <w:t>总额低于该项目总投入费用的4</w:t>
            </w:r>
            <w:r>
              <w:rPr>
                <w:rFonts w:asciiTheme="majorEastAsia" w:hAnsiTheme="majorEastAsia" w:eastAsiaTheme="majorEastAsia"/>
                <w:sz w:val="24"/>
              </w:rPr>
              <w:t>0</w:t>
            </w:r>
            <w:r>
              <w:rPr>
                <w:rFonts w:hint="eastAsia" w:asciiTheme="majorEastAsia" w:hAnsiTheme="majorEastAsia" w:eastAsiaTheme="maj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123" w:type="dxa"/>
            <w:vMerge w:val="continue"/>
            <w:vAlign w:val="center"/>
          </w:tcPr>
          <w:p>
            <w:pPr>
              <w:rPr>
                <w:rFonts w:asciiTheme="minorEastAsia" w:hAnsiTheme="minorEastAsia"/>
                <w:sz w:val="24"/>
              </w:rPr>
            </w:pPr>
          </w:p>
        </w:tc>
        <w:tc>
          <w:tcPr>
            <w:tcW w:w="1510" w:type="dxa"/>
            <w:vAlign w:val="center"/>
          </w:tcPr>
          <w:p>
            <w:pPr>
              <w:rPr>
                <w:rFonts w:asciiTheme="minorEastAsia" w:hAnsiTheme="minorEastAsia"/>
                <w:sz w:val="24"/>
              </w:rPr>
            </w:pPr>
            <w:r>
              <w:rPr>
                <w:rFonts w:asciiTheme="majorEastAsia" w:hAnsiTheme="majorEastAsia" w:eastAsiaTheme="majorEastAsia"/>
                <w:sz w:val="24"/>
              </w:rPr>
              <w:t>申请产品财政扶持金额</w:t>
            </w:r>
          </w:p>
        </w:tc>
        <w:tc>
          <w:tcPr>
            <w:tcW w:w="2741" w:type="dxa"/>
            <w:vMerge w:val="continue"/>
            <w:vAlign w:val="center"/>
          </w:tcPr>
          <w:p>
            <w:pPr>
              <w:rPr>
                <w:rFonts w:asciiTheme="minorEastAsia" w:hAnsiTheme="minorEastAsia"/>
                <w:sz w:val="24"/>
              </w:rPr>
            </w:pPr>
          </w:p>
        </w:tc>
        <w:tc>
          <w:tcPr>
            <w:tcW w:w="3342" w:type="dxa"/>
            <w:vMerge w:val="continue"/>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123" w:type="dxa"/>
            <w:vMerge w:val="restart"/>
            <w:vAlign w:val="center"/>
          </w:tcPr>
          <w:p>
            <w:pPr>
              <w:rPr>
                <w:rFonts w:asciiTheme="minorEastAsia" w:hAnsiTheme="minorEastAsia"/>
                <w:sz w:val="24"/>
              </w:rPr>
            </w:pPr>
            <w:r>
              <w:rPr>
                <w:rFonts w:hint="eastAsia" w:asciiTheme="minorEastAsia" w:hAnsiTheme="minorEastAsia"/>
                <w:sz w:val="24"/>
              </w:rPr>
              <w:t>（二）项目总体绩效目标</w:t>
            </w:r>
          </w:p>
        </w:tc>
        <w:tc>
          <w:tcPr>
            <w:tcW w:w="1510" w:type="dxa"/>
            <w:vAlign w:val="center"/>
          </w:tcPr>
          <w:p>
            <w:pPr>
              <w:rPr>
                <w:rFonts w:asciiTheme="minorEastAsia" w:hAnsiTheme="minorEastAsia"/>
                <w:sz w:val="24"/>
              </w:rPr>
            </w:pPr>
            <w:r>
              <w:rPr>
                <w:rFonts w:hint="eastAsia" w:asciiTheme="minorEastAsia" w:hAnsiTheme="minorEastAsia"/>
                <w:sz w:val="24"/>
              </w:rPr>
              <w:t>项目必要性</w:t>
            </w:r>
          </w:p>
        </w:tc>
        <w:tc>
          <w:tcPr>
            <w:tcW w:w="2741" w:type="dxa"/>
            <w:vAlign w:val="center"/>
          </w:tcPr>
          <w:p>
            <w:pPr>
              <w:rPr>
                <w:rFonts w:asciiTheme="minorEastAsia" w:hAnsiTheme="minorEastAsia"/>
                <w:sz w:val="24"/>
              </w:rPr>
            </w:pPr>
            <w:r>
              <w:rPr>
                <w:rFonts w:asciiTheme="minorEastAsia" w:hAnsiTheme="minorEastAsia"/>
                <w:sz w:val="24"/>
              </w:rPr>
              <w:t>紧扣企业降本提质增效降耗协同等核心问题，</w:t>
            </w:r>
            <w:r>
              <w:rPr>
                <w:rFonts w:hint="eastAsia" w:asciiTheme="minorEastAsia" w:hAnsiTheme="minorEastAsia"/>
                <w:sz w:val="24"/>
              </w:rPr>
              <w:t>拟购买产品的</w:t>
            </w:r>
            <w:r>
              <w:rPr>
                <w:rFonts w:asciiTheme="minorEastAsia" w:hAnsiTheme="minorEastAsia"/>
                <w:sz w:val="24"/>
              </w:rPr>
              <w:t>痛点问题描述清晰、应用场景明确</w:t>
            </w:r>
          </w:p>
        </w:tc>
        <w:tc>
          <w:tcPr>
            <w:tcW w:w="3342" w:type="dxa"/>
            <w:vAlign w:val="center"/>
          </w:tcPr>
          <w:p>
            <w:pPr>
              <w:jc w:val="center"/>
              <w:rPr>
                <w:rFonts w:asciiTheme="minorEastAsia" w:hAnsiTheme="minorEastAsia"/>
                <w:sz w:val="24"/>
              </w:rPr>
            </w:pP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1123" w:type="dxa"/>
            <w:vMerge w:val="continue"/>
            <w:vAlign w:val="center"/>
          </w:tcPr>
          <w:p>
            <w:pPr>
              <w:rPr>
                <w:rFonts w:asciiTheme="minorEastAsia" w:hAnsiTheme="minorEastAsia"/>
                <w:sz w:val="24"/>
              </w:rPr>
            </w:pPr>
          </w:p>
        </w:tc>
        <w:tc>
          <w:tcPr>
            <w:tcW w:w="1510" w:type="dxa"/>
            <w:vAlign w:val="center"/>
          </w:tcPr>
          <w:p>
            <w:pPr>
              <w:rPr>
                <w:rFonts w:asciiTheme="minorEastAsia" w:hAnsiTheme="minorEastAsia"/>
                <w:sz w:val="24"/>
              </w:rPr>
            </w:pPr>
            <w:r>
              <w:rPr>
                <w:rFonts w:asciiTheme="minorEastAsia" w:hAnsiTheme="minorEastAsia"/>
                <w:sz w:val="24"/>
              </w:rPr>
              <w:t>工业互联网要素</w:t>
            </w:r>
          </w:p>
        </w:tc>
        <w:tc>
          <w:tcPr>
            <w:tcW w:w="2741" w:type="dxa"/>
            <w:vAlign w:val="center"/>
          </w:tcPr>
          <w:p>
            <w:pPr>
              <w:rPr>
                <w:rFonts w:asciiTheme="minorEastAsia" w:hAnsiTheme="minorEastAsia"/>
                <w:sz w:val="24"/>
              </w:rPr>
            </w:pPr>
            <w:r>
              <w:rPr>
                <w:rFonts w:hint="eastAsia" w:asciiTheme="minorEastAsia" w:hAnsiTheme="minorEastAsia"/>
                <w:sz w:val="24"/>
              </w:rPr>
              <w:t>车间具有良好的数据采集和应用基础，具备数字化生产线的基本要求，数字化设备数量占生产装备总数量不低于50%，设备联网率不低于50%</w:t>
            </w:r>
          </w:p>
        </w:tc>
        <w:tc>
          <w:tcPr>
            <w:tcW w:w="3342" w:type="dxa"/>
            <w:vAlign w:val="center"/>
          </w:tcPr>
          <w:p>
            <w:pPr>
              <w:rPr>
                <w:rFonts w:asciiTheme="minorEastAsia" w:hAnsiTheme="minorEastAsia"/>
                <w:sz w:val="24"/>
              </w:rPr>
            </w:pPr>
            <w:r>
              <w:rPr>
                <w:rFonts w:hint="eastAsia" w:asciiTheme="minorEastAsia" w:hAnsiTheme="minorEastAsia"/>
                <w:sz w:val="24"/>
              </w:rPr>
              <w:t>通过信息化系统（如MES、MOM）优化企业生产制造管理模式，已实现或承诺建立统一的信息管理平台，并实现生产系统的实时监控，以数字化手段，实现工厂生产流程的闭环管理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123" w:type="dxa"/>
            <w:vMerge w:val="continue"/>
            <w:vAlign w:val="center"/>
          </w:tcPr>
          <w:p>
            <w:pPr>
              <w:rPr>
                <w:rFonts w:asciiTheme="minorEastAsia" w:hAnsiTheme="minorEastAsia"/>
                <w:sz w:val="24"/>
              </w:rPr>
            </w:pPr>
          </w:p>
        </w:tc>
        <w:tc>
          <w:tcPr>
            <w:tcW w:w="1510" w:type="dxa"/>
            <w:vAlign w:val="center"/>
          </w:tcPr>
          <w:p>
            <w:pPr>
              <w:rPr>
                <w:rFonts w:asciiTheme="minorEastAsia" w:hAnsiTheme="minorEastAsia"/>
                <w:sz w:val="24"/>
              </w:rPr>
            </w:pPr>
            <w:r>
              <w:rPr>
                <w:rFonts w:hint="eastAsia" w:asciiTheme="minorEastAsia" w:hAnsiTheme="minorEastAsia"/>
                <w:sz w:val="24"/>
              </w:rPr>
              <w:t>项目方案合理性</w:t>
            </w:r>
          </w:p>
        </w:tc>
        <w:tc>
          <w:tcPr>
            <w:tcW w:w="2741" w:type="dxa"/>
            <w:vAlign w:val="center"/>
          </w:tcPr>
          <w:p>
            <w:pPr>
              <w:rPr>
                <w:rFonts w:asciiTheme="minorEastAsia" w:hAnsiTheme="minorEastAsia"/>
                <w:sz w:val="24"/>
              </w:rPr>
            </w:pPr>
            <w:r>
              <w:rPr>
                <w:rFonts w:hint="eastAsia" w:asciiTheme="minorEastAsia" w:hAnsiTheme="minorEastAsia"/>
                <w:sz w:val="24"/>
              </w:rPr>
              <w:t>申报单位项目任务和目标、人员组织构成、项目实施时间安排合理</w:t>
            </w:r>
          </w:p>
        </w:tc>
        <w:tc>
          <w:tcPr>
            <w:tcW w:w="3342" w:type="dxa"/>
            <w:vAlign w:val="center"/>
          </w:tcPr>
          <w:p>
            <w:pPr>
              <w:jc w:val="center"/>
              <w:rPr>
                <w:rFonts w:asciiTheme="minorEastAsia" w:hAnsiTheme="minorEastAsia"/>
                <w:sz w:val="24"/>
              </w:rPr>
            </w:pPr>
            <w:r>
              <w:rPr>
                <w:rFonts w:hint="eastAsia"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1123" w:type="dxa"/>
            <w:vMerge w:val="continue"/>
            <w:vAlign w:val="center"/>
          </w:tcPr>
          <w:p>
            <w:pPr>
              <w:rPr>
                <w:rFonts w:asciiTheme="minorEastAsia" w:hAnsiTheme="minorEastAsia"/>
                <w:sz w:val="24"/>
              </w:rPr>
            </w:pPr>
          </w:p>
        </w:tc>
        <w:tc>
          <w:tcPr>
            <w:tcW w:w="1510" w:type="dxa"/>
            <w:vAlign w:val="center"/>
          </w:tcPr>
          <w:p>
            <w:pPr>
              <w:rPr>
                <w:rFonts w:asciiTheme="minorEastAsia" w:hAnsiTheme="minorEastAsia"/>
                <w:sz w:val="24"/>
              </w:rPr>
            </w:pPr>
            <w:r>
              <w:rPr>
                <w:rFonts w:asciiTheme="minorEastAsia" w:hAnsiTheme="minorEastAsia"/>
                <w:sz w:val="24"/>
              </w:rPr>
              <w:t>企业实施效果</w:t>
            </w:r>
          </w:p>
        </w:tc>
        <w:tc>
          <w:tcPr>
            <w:tcW w:w="2741" w:type="dxa"/>
            <w:vAlign w:val="center"/>
          </w:tcPr>
          <w:p>
            <w:pPr>
              <w:rPr>
                <w:rFonts w:asciiTheme="minorEastAsia" w:hAnsiTheme="minorEastAsia"/>
                <w:sz w:val="24"/>
              </w:rPr>
            </w:pPr>
            <w:r>
              <w:rPr>
                <w:rFonts w:hint="eastAsia" w:asciiTheme="minorEastAsia" w:hAnsiTheme="minorEastAsia"/>
                <w:sz w:val="24"/>
              </w:rPr>
              <w:t>项目拟购产品应用于拟购产品对应的场景重点的关键环节数据的集成、分析和创新应用</w:t>
            </w:r>
          </w:p>
        </w:tc>
        <w:tc>
          <w:tcPr>
            <w:tcW w:w="3342" w:type="dxa"/>
            <w:vAlign w:val="center"/>
          </w:tcPr>
          <w:p>
            <w:pPr>
              <w:rPr>
                <w:rFonts w:asciiTheme="minorEastAsia" w:hAnsiTheme="minorEastAsia"/>
                <w:sz w:val="24"/>
              </w:rPr>
            </w:pPr>
            <w:r>
              <w:rPr>
                <w:rFonts w:hint="eastAsia" w:asciiTheme="minorEastAsia" w:hAnsiTheme="minorEastAsia"/>
                <w:sz w:val="24"/>
              </w:rPr>
              <w:t>项目拟购产品应用于上下游企业关键生产数据互联互通，提升安全性和可控性，在设计制造协同、柔性生产、生产管理优化、质量控制、供应链协同、制造能力交易等方面有预期提升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123" w:type="dxa"/>
            <w:vMerge w:val="continue"/>
            <w:vAlign w:val="center"/>
          </w:tcPr>
          <w:p>
            <w:pPr>
              <w:rPr>
                <w:rFonts w:asciiTheme="minorEastAsia" w:hAnsiTheme="minorEastAsia"/>
                <w:sz w:val="24"/>
              </w:rPr>
            </w:pPr>
          </w:p>
        </w:tc>
        <w:tc>
          <w:tcPr>
            <w:tcW w:w="1510" w:type="dxa"/>
            <w:vAlign w:val="center"/>
          </w:tcPr>
          <w:p>
            <w:pPr>
              <w:rPr>
                <w:rFonts w:asciiTheme="minorEastAsia" w:hAnsiTheme="minorEastAsia"/>
                <w:sz w:val="24"/>
              </w:rPr>
            </w:pPr>
            <w:r>
              <w:rPr>
                <w:rFonts w:asciiTheme="minorEastAsia" w:hAnsiTheme="minorEastAsia"/>
                <w:sz w:val="24"/>
              </w:rPr>
              <w:t>经济社会效益</w:t>
            </w:r>
          </w:p>
        </w:tc>
        <w:tc>
          <w:tcPr>
            <w:tcW w:w="2741" w:type="dxa"/>
            <w:vAlign w:val="center"/>
          </w:tcPr>
          <w:p>
            <w:pPr>
              <w:rPr>
                <w:rFonts w:asciiTheme="minorEastAsia" w:hAnsiTheme="minorEastAsia"/>
                <w:sz w:val="24"/>
              </w:rPr>
            </w:pPr>
            <w:r>
              <w:rPr>
                <w:rFonts w:hint="eastAsia" w:asciiTheme="minorEastAsia" w:hAnsiTheme="minorEastAsia"/>
                <w:sz w:val="24"/>
              </w:rPr>
              <w:t>项目在实施前后整体数字化转型升级有预期成效和效果，提出不少于1项可量化、可考核的经济社会效益指标</w:t>
            </w:r>
          </w:p>
        </w:tc>
        <w:tc>
          <w:tcPr>
            <w:tcW w:w="3342" w:type="dxa"/>
            <w:vAlign w:val="center"/>
          </w:tcPr>
          <w:p>
            <w:pPr>
              <w:rPr>
                <w:rFonts w:asciiTheme="minorEastAsia" w:hAnsiTheme="minorEastAsia"/>
                <w:sz w:val="24"/>
              </w:rPr>
            </w:pPr>
            <w:r>
              <w:rPr>
                <w:rFonts w:hint="eastAsia" w:asciiTheme="minorEastAsia" w:hAnsiTheme="minorEastAsia"/>
                <w:sz w:val="24"/>
              </w:rPr>
              <w:t>每超过一项有预期的经济社会效益指标</w:t>
            </w:r>
          </w:p>
        </w:tc>
      </w:tr>
    </w:tbl>
    <w:p/>
    <w:p>
      <w:pPr>
        <w:widowControl/>
        <w:jc w:val="left"/>
      </w:pPr>
      <w:r>
        <w:br w:type="page"/>
      </w:r>
    </w:p>
    <w:p/>
    <w:p>
      <w:pPr>
        <w:spacing w:line="560" w:lineRule="exact"/>
        <w:ind w:firstLine="640" w:firstLineChars="200"/>
        <w:rPr>
          <w:rFonts w:ascii="Times New Roman" w:hAnsi="Times New Roman" w:eastAsia="黑体" w:cs="Times New Roman"/>
          <w:sz w:val="32"/>
          <w:szCs w:val="32"/>
          <w:lang w:bidi="ar"/>
        </w:rPr>
      </w:pPr>
      <w:r>
        <w:rPr>
          <w:rFonts w:hint="eastAsia" w:ascii="Times New Roman" w:hAnsi="Times New Roman" w:eastAsia="黑体" w:cs="Times New Roman"/>
          <w:sz w:val="32"/>
          <w:szCs w:val="32"/>
          <w:lang w:bidi="ar"/>
        </w:rPr>
        <w:t>三、</w:t>
      </w:r>
      <w:r>
        <w:rPr>
          <w:rFonts w:ascii="Times New Roman" w:hAnsi="Times New Roman" w:eastAsia="黑体" w:cs="Times New Roman"/>
          <w:sz w:val="32"/>
          <w:szCs w:val="32"/>
          <w:lang w:bidi="ar"/>
        </w:rPr>
        <w:t>2024</w:t>
      </w:r>
      <w:r>
        <w:rPr>
          <w:rFonts w:hint="eastAsia" w:ascii="Times New Roman" w:hAnsi="Times New Roman" w:eastAsia="黑体" w:cs="Times New Roman"/>
          <w:sz w:val="32"/>
          <w:szCs w:val="32"/>
          <w:lang w:bidi="ar"/>
        </w:rPr>
        <w:t>年江门市工业互联网人才培养专项资金评审指标体系</w:t>
      </w:r>
    </w:p>
    <w:p>
      <w:pPr>
        <w:numPr>
          <w:ilvl w:val="0"/>
          <w:numId w:val="1"/>
        </w:numPr>
        <w:spacing w:line="560" w:lineRule="exact"/>
        <w:ind w:firstLine="64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lang w:bidi="ar"/>
        </w:rPr>
        <w:t>专业指标评审（采用综合评分法，满分</w:t>
      </w:r>
      <w:r>
        <w:rPr>
          <w:rFonts w:ascii="Times New Roman" w:hAnsi="Times New Roman" w:eastAsia="楷体_GB2312" w:cs="Times New Roman"/>
          <w:bCs/>
          <w:sz w:val="32"/>
          <w:szCs w:val="32"/>
          <w:lang w:bidi="ar"/>
        </w:rPr>
        <w:t>100</w:t>
      </w:r>
      <w:r>
        <w:rPr>
          <w:rFonts w:hint="eastAsia" w:ascii="Times New Roman" w:hAnsi="Times New Roman" w:eastAsia="楷体_GB2312" w:cs="Times New Roman"/>
          <w:bCs/>
          <w:sz w:val="32"/>
          <w:szCs w:val="32"/>
          <w:lang w:bidi="ar"/>
        </w:rPr>
        <w:t>分。）</w:t>
      </w:r>
    </w:p>
    <w:tbl>
      <w:tblPr>
        <w:tblStyle w:val="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926"/>
        <w:gridCol w:w="2269"/>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blHeader/>
          <w:jc w:val="center"/>
        </w:trPr>
        <w:tc>
          <w:tcPr>
            <w:tcW w:w="1599"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4"/>
              </w:rPr>
            </w:pPr>
            <w:r>
              <w:rPr>
                <w:rFonts w:hint="eastAsia" w:asciiTheme="minorEastAsia" w:hAnsiTheme="minorEastAsia"/>
                <w:b/>
                <w:sz w:val="24"/>
              </w:rPr>
              <w:t>序号</w:t>
            </w:r>
          </w:p>
        </w:tc>
        <w:tc>
          <w:tcPr>
            <w:tcW w:w="192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4"/>
              </w:rPr>
            </w:pPr>
            <w:r>
              <w:rPr>
                <w:rFonts w:hint="eastAsia" w:asciiTheme="minorEastAsia" w:hAnsiTheme="minorEastAsia"/>
                <w:b/>
                <w:sz w:val="24"/>
              </w:rPr>
              <w:t>评审内容</w:t>
            </w:r>
          </w:p>
        </w:tc>
        <w:tc>
          <w:tcPr>
            <w:tcW w:w="2269"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4"/>
              </w:rPr>
            </w:pPr>
            <w:r>
              <w:rPr>
                <w:rFonts w:hint="eastAsia" w:asciiTheme="minorEastAsia" w:hAnsiTheme="minorEastAsia"/>
                <w:b/>
                <w:sz w:val="24"/>
              </w:rPr>
              <w:t>基本分</w:t>
            </w:r>
          </w:p>
        </w:tc>
        <w:tc>
          <w:tcPr>
            <w:tcW w:w="272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eastAsia="宋体" w:cs="宋体"/>
                <w:b/>
                <w:sz w:val="24"/>
              </w:rPr>
            </w:pPr>
            <w:r>
              <w:rPr>
                <w:rFonts w:hint="eastAsia" w:asciiTheme="minorEastAsia" w:hAnsiTheme="minorEastAsia"/>
                <w:b/>
                <w:sz w:val="24"/>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5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（一）项目基本情况</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asciiTheme="minorEastAsia" w:hAnsiTheme="minorEastAsia"/>
                <w:sz w:val="24"/>
              </w:rPr>
              <w:t>培训对象覆盖面</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针对工业企业信息化数字化的培训项目，以工业企业上云上平台、产业集群数字化转型等为主题的专业培训等课程</w:t>
            </w: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asciiTheme="minorEastAsia" w:hAnsiTheme="minorEastAsia"/>
                <w:sz w:val="24"/>
              </w:rPr>
              <w:t>开展培训课程</w:t>
            </w:r>
            <w:r>
              <w:rPr>
                <w:rFonts w:hint="eastAsia" w:asciiTheme="minorEastAsia" w:hAnsiTheme="minorEastAsia"/>
                <w:sz w:val="24"/>
              </w:rPr>
              <w:t>至少3个类别</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有即得分</w:t>
            </w: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5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asciiTheme="minorEastAsia" w:hAnsiTheme="minorEastAsia"/>
                <w:sz w:val="24"/>
              </w:rPr>
              <w:t>培训实施计划</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有即得分</w:t>
            </w: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rPr>
            </w:pPr>
            <w:r>
              <w:rPr>
                <w:rFonts w:hint="eastAsia" w:asciiTheme="minorEastAsia" w:hAnsiTheme="minorEastAsia"/>
                <w:sz w:val="24"/>
              </w:rPr>
              <w:t>培训实施计划切实可行，符合江门本地实际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5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asciiTheme="minorEastAsia" w:hAnsiTheme="minorEastAsia"/>
                <w:sz w:val="24"/>
              </w:rPr>
              <w:t>培训场地不少于</w:t>
            </w:r>
            <w:r>
              <w:rPr>
                <w:rFonts w:hint="eastAsia" w:asciiTheme="minorEastAsia" w:hAnsiTheme="minorEastAsia"/>
                <w:sz w:val="24"/>
              </w:rPr>
              <w:t>1个</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有即得分</w:t>
            </w: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5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在华为云官网上购买至少一项教育类产品</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有即得分</w:t>
            </w: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rPr>
            </w:pPr>
            <w:r>
              <w:rPr>
                <w:rFonts w:hint="eastAsia" w:asciiTheme="minorEastAsia" w:hAnsiTheme="minorEastAsia"/>
                <w:sz w:val="24"/>
              </w:rPr>
              <w:t>产品适配江门工业互联网人才培养工作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5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（二）项目总体绩效目标</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组织培训活动场次数</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承诺不少于10场培训活动</w:t>
            </w: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rPr>
            </w:pPr>
            <w:r>
              <w:rPr>
                <w:rFonts w:asciiTheme="minorEastAsia" w:hAnsi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5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rPr>
            </w:pPr>
            <w:r>
              <w:rPr>
                <w:rFonts w:hint="eastAsia" w:asciiTheme="minorEastAsia" w:hAnsiTheme="minorEastAsia"/>
                <w:sz w:val="24"/>
              </w:rPr>
              <w:t>培养工业互联网应用人才数量</w:t>
            </w:r>
          </w:p>
        </w:tc>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rPr>
            </w:pPr>
            <w:r>
              <w:rPr>
                <w:rFonts w:hint="eastAsia" w:asciiTheme="minorEastAsia" w:hAnsiTheme="minorEastAsia"/>
                <w:sz w:val="24"/>
              </w:rPr>
              <w:t>承诺不少于500人</w:t>
            </w:r>
          </w:p>
        </w:tc>
        <w:tc>
          <w:tcPr>
            <w:tcW w:w="272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sz w:val="24"/>
              </w:rPr>
            </w:pPr>
            <w:r>
              <w:rPr>
                <w:rFonts w:hint="eastAsia" w:asciiTheme="minorEastAsia" w:hAnsiTheme="minorEastAsia"/>
                <w:sz w:val="24"/>
              </w:rPr>
              <w:t>承诺培训人员获得培训证书</w:t>
            </w:r>
          </w:p>
        </w:tc>
      </w:tr>
    </w:tbl>
    <w:p/>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C34F5"/>
    <w:multiLevelType w:val="multilevel"/>
    <w:tmpl w:val="7DAC34F5"/>
    <w:lvl w:ilvl="0" w:tentative="0">
      <w:start w:val="1"/>
      <w:numFmt w:val="chineseCounting"/>
      <w:suff w:val="nothing"/>
      <w:lvlText w:val="（%1）"/>
      <w:lvlJc w:val="left"/>
      <w:pPr>
        <w:ind w:left="-640" w:firstLine="0"/>
      </w:pPr>
    </w:lvl>
    <w:lvl w:ilvl="1" w:tentative="0">
      <w:start w:val="1"/>
      <w:numFmt w:val="decimal"/>
      <w:lvlText w:val="%2."/>
      <w:lvlJc w:val="left"/>
      <w:pPr>
        <w:tabs>
          <w:tab w:val="left" w:pos="1440"/>
        </w:tabs>
        <w:ind w:left="800" w:hanging="360"/>
      </w:pPr>
    </w:lvl>
    <w:lvl w:ilvl="2" w:tentative="0">
      <w:start w:val="1"/>
      <w:numFmt w:val="decimal"/>
      <w:lvlText w:val="%3."/>
      <w:lvlJc w:val="left"/>
      <w:pPr>
        <w:tabs>
          <w:tab w:val="left" w:pos="2160"/>
        </w:tabs>
        <w:ind w:left="1520" w:hanging="360"/>
      </w:pPr>
    </w:lvl>
    <w:lvl w:ilvl="3" w:tentative="0">
      <w:start w:val="1"/>
      <w:numFmt w:val="decimal"/>
      <w:lvlText w:val="%4."/>
      <w:lvlJc w:val="left"/>
      <w:pPr>
        <w:tabs>
          <w:tab w:val="left" w:pos="2880"/>
        </w:tabs>
        <w:ind w:left="2240" w:hanging="360"/>
      </w:pPr>
    </w:lvl>
    <w:lvl w:ilvl="4" w:tentative="0">
      <w:start w:val="1"/>
      <w:numFmt w:val="decimal"/>
      <w:lvlText w:val="%5."/>
      <w:lvlJc w:val="left"/>
      <w:pPr>
        <w:tabs>
          <w:tab w:val="left" w:pos="3600"/>
        </w:tabs>
        <w:ind w:left="2960" w:hanging="360"/>
      </w:pPr>
    </w:lvl>
    <w:lvl w:ilvl="5" w:tentative="0">
      <w:start w:val="1"/>
      <w:numFmt w:val="decimal"/>
      <w:lvlText w:val="%6."/>
      <w:lvlJc w:val="left"/>
      <w:pPr>
        <w:tabs>
          <w:tab w:val="left" w:pos="4320"/>
        </w:tabs>
        <w:ind w:left="3680" w:hanging="360"/>
      </w:pPr>
    </w:lvl>
    <w:lvl w:ilvl="6" w:tentative="0">
      <w:start w:val="1"/>
      <w:numFmt w:val="decimal"/>
      <w:lvlText w:val="%7."/>
      <w:lvlJc w:val="left"/>
      <w:pPr>
        <w:tabs>
          <w:tab w:val="left" w:pos="5040"/>
        </w:tabs>
        <w:ind w:left="4400" w:hanging="360"/>
      </w:pPr>
    </w:lvl>
    <w:lvl w:ilvl="7" w:tentative="0">
      <w:start w:val="1"/>
      <w:numFmt w:val="decimal"/>
      <w:lvlText w:val="%8."/>
      <w:lvlJc w:val="left"/>
      <w:pPr>
        <w:tabs>
          <w:tab w:val="left" w:pos="5760"/>
        </w:tabs>
        <w:ind w:left="5120" w:hanging="360"/>
      </w:pPr>
    </w:lvl>
    <w:lvl w:ilvl="8" w:tentative="0">
      <w:start w:val="1"/>
      <w:numFmt w:val="decimal"/>
      <w:lvlText w:val="%9."/>
      <w:lvlJc w:val="left"/>
      <w:pPr>
        <w:tabs>
          <w:tab w:val="left" w:pos="6480"/>
        </w:tabs>
        <w:ind w:left="58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zJjOTcwYzFjOGUyOTJkN2VhMzlkYThlYmJmMGIifQ=="/>
  </w:docVars>
  <w:rsids>
    <w:rsidRoot w:val="00000000"/>
    <w:rsid w:val="10AB52F7"/>
    <w:rsid w:val="6743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413" w:lineRule="auto"/>
      <w:outlineLvl w:val="1"/>
    </w:pPr>
    <w:rPr>
      <w:rFonts w:ascii="Arial" w:hAnsi="Arial" w:eastAsia="华文仿宋" w:cs="Times New Roman"/>
      <w:spacing w:val="10"/>
      <w:sz w:val="30"/>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林键辉</cp:lastModifiedBy>
  <dcterms:modified xsi:type="dcterms:W3CDTF">2024-06-06T01:22:05Z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E2DA429F7CCD4A04BDE5ACCAC49B918D_12</vt:lpwstr>
  </property>
</Properties>
</file>